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D8B" w:rsidRPr="00345437" w:rsidRDefault="00EF2A05" w:rsidP="00667DD2">
      <w:pPr>
        <w:jc w:val="center"/>
        <w:rPr>
          <w:rFonts w:ascii="Arial" w:hAnsi="Arial" w:cs="Arial"/>
          <w:b/>
          <w:sz w:val="28"/>
          <w:szCs w:val="28"/>
        </w:rPr>
      </w:pPr>
      <w:r w:rsidRPr="00345437">
        <w:rPr>
          <w:rFonts w:ascii="Arial" w:hAnsi="Arial" w:cs="Arial"/>
          <w:b/>
          <w:sz w:val="28"/>
          <w:szCs w:val="28"/>
        </w:rPr>
        <w:t>Swiss-Polish Cooperation Programme</w:t>
      </w:r>
    </w:p>
    <w:p w:rsidR="00366560" w:rsidRPr="00345437" w:rsidRDefault="00366560" w:rsidP="00366560">
      <w:pPr>
        <w:jc w:val="center"/>
        <w:rPr>
          <w:rFonts w:ascii="Arial" w:hAnsi="Arial" w:cs="Arial"/>
        </w:rPr>
      </w:pPr>
    </w:p>
    <w:p w:rsidR="00366560" w:rsidRPr="00345437" w:rsidRDefault="00E23F57" w:rsidP="00667DD2">
      <w:pPr>
        <w:ind w:right="-10"/>
        <w:jc w:val="center"/>
        <w:rPr>
          <w:rFonts w:ascii="Arial" w:hAnsi="Arial" w:cs="Arial"/>
          <w:sz w:val="28"/>
          <w:szCs w:val="28"/>
        </w:rPr>
      </w:pPr>
      <w:r w:rsidRPr="00345437">
        <w:rPr>
          <w:rFonts w:ascii="Arial" w:hAnsi="Arial" w:cs="Arial"/>
          <w:sz w:val="28"/>
          <w:szCs w:val="28"/>
        </w:rPr>
        <w:t xml:space="preserve">Half-yearly report on the measures taken in relation to </w:t>
      </w:r>
      <w:r w:rsidR="008A01DF" w:rsidRPr="00345437">
        <w:rPr>
          <w:rFonts w:ascii="Arial" w:hAnsi="Arial" w:cs="Arial"/>
          <w:sz w:val="28"/>
          <w:szCs w:val="28"/>
        </w:rPr>
        <w:t>a</w:t>
      </w:r>
      <w:r w:rsidRPr="00345437">
        <w:rPr>
          <w:rFonts w:ascii="Arial" w:hAnsi="Arial" w:cs="Arial"/>
          <w:sz w:val="28"/>
          <w:szCs w:val="28"/>
        </w:rPr>
        <w:t xml:space="preserve"> previously reported irregularity</w:t>
      </w:r>
      <w:r w:rsidR="00524202" w:rsidRPr="00345437">
        <w:rPr>
          <w:rFonts w:ascii="Arial" w:hAnsi="Arial" w:cs="Arial"/>
          <w:sz w:val="28"/>
          <w:szCs w:val="28"/>
        </w:rPr>
        <w:t xml:space="preserve"> </w:t>
      </w:r>
    </w:p>
    <w:p w:rsidR="00435166" w:rsidRPr="00345437" w:rsidRDefault="00435166" w:rsidP="00A46560">
      <w:pPr>
        <w:ind w:right="462"/>
        <w:jc w:val="both"/>
      </w:pPr>
    </w:p>
    <w:p w:rsidR="006208CA" w:rsidRPr="00345437" w:rsidRDefault="006208CA" w:rsidP="00A46560">
      <w:pPr>
        <w:ind w:right="462"/>
        <w:jc w:val="both"/>
      </w:pPr>
    </w:p>
    <w:tbl>
      <w:tblPr>
        <w:tblW w:w="918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7"/>
        <w:gridCol w:w="2794"/>
        <w:gridCol w:w="1025"/>
        <w:gridCol w:w="8"/>
      </w:tblGrid>
      <w:tr w:rsidR="00A578AB" w:rsidRPr="00345437" w:rsidTr="00174F2F">
        <w:trPr>
          <w:trHeight w:val="113"/>
        </w:trPr>
        <w:tc>
          <w:tcPr>
            <w:tcW w:w="9184" w:type="dxa"/>
            <w:gridSpan w:val="4"/>
            <w:shd w:val="clear" w:color="auto" w:fill="0C0C0C"/>
          </w:tcPr>
          <w:p w:rsidR="00A578AB" w:rsidRPr="00345437" w:rsidRDefault="00A578AB" w:rsidP="00667DD2">
            <w:pPr>
              <w:rPr>
                <w:rFonts w:ascii="Arial" w:hAnsi="Arial" w:cs="Arial"/>
                <w:b/>
                <w:color w:val="FFFFFF"/>
                <w:sz w:val="20"/>
                <w:szCs w:val="20"/>
              </w:rPr>
            </w:pPr>
            <w:r w:rsidRPr="00345437">
              <w:rPr>
                <w:rFonts w:ascii="Arial" w:hAnsi="Arial" w:cs="Arial"/>
                <w:b/>
                <w:color w:val="FFFFFF"/>
                <w:sz w:val="20"/>
                <w:szCs w:val="20"/>
              </w:rPr>
              <w:t>1</w:t>
            </w:r>
            <w:r w:rsidR="006D742A" w:rsidRPr="00345437">
              <w:rPr>
                <w:rFonts w:ascii="Arial" w:hAnsi="Arial" w:cs="Arial"/>
                <w:b/>
                <w:color w:val="FFFFFF"/>
                <w:sz w:val="20"/>
                <w:szCs w:val="20"/>
              </w:rPr>
              <w:t xml:space="preserve">. </w:t>
            </w:r>
            <w:r w:rsidR="00E23F57" w:rsidRPr="00345437">
              <w:rPr>
                <w:rFonts w:ascii="Arial" w:hAnsi="Arial" w:cs="Arial"/>
                <w:b/>
                <w:sz w:val="20"/>
                <w:szCs w:val="20"/>
              </w:rPr>
              <w:t>Report submitted by (name of the institution that has drawn up the report)</w:t>
            </w:r>
          </w:p>
        </w:tc>
      </w:tr>
      <w:tr w:rsidR="00A578AB" w:rsidRPr="00345437">
        <w:tblPrEx>
          <w:tblLook w:val="0000" w:firstRow="0" w:lastRow="0" w:firstColumn="0" w:lastColumn="0" w:noHBand="0" w:noVBand="0"/>
        </w:tblPrEx>
        <w:trPr>
          <w:gridAfter w:val="1"/>
          <w:wAfter w:w="8" w:type="dxa"/>
          <w:trHeight w:val="277"/>
        </w:trPr>
        <w:tc>
          <w:tcPr>
            <w:tcW w:w="9176" w:type="dxa"/>
            <w:gridSpan w:val="3"/>
          </w:tcPr>
          <w:p w:rsidR="00A578AB" w:rsidRPr="00345437" w:rsidRDefault="00A578AB" w:rsidP="00467926">
            <w:pPr>
              <w:ind w:left="6"/>
              <w:rPr>
                <w:rFonts w:ascii="Arial" w:hAnsi="Arial" w:cs="Arial"/>
                <w:sz w:val="20"/>
                <w:szCs w:val="20"/>
              </w:rPr>
            </w:pPr>
          </w:p>
        </w:tc>
      </w:tr>
      <w:tr w:rsidR="00920ACF" w:rsidRPr="00345437" w:rsidTr="00174F2F">
        <w:trPr>
          <w:gridAfter w:val="1"/>
          <w:wAfter w:w="8" w:type="dxa"/>
          <w:trHeight w:val="90"/>
        </w:trPr>
        <w:tc>
          <w:tcPr>
            <w:tcW w:w="9176" w:type="dxa"/>
            <w:gridSpan w:val="3"/>
            <w:tcBorders>
              <w:bottom w:val="single" w:sz="4" w:space="0" w:color="auto"/>
            </w:tcBorders>
            <w:shd w:val="clear" w:color="auto" w:fill="000000"/>
          </w:tcPr>
          <w:p w:rsidR="00920ACF" w:rsidRPr="00345437" w:rsidRDefault="00E30D8B" w:rsidP="00667DD2">
            <w:pPr>
              <w:rPr>
                <w:rFonts w:ascii="Arial" w:hAnsi="Arial" w:cs="Arial"/>
                <w:b/>
                <w:sz w:val="20"/>
                <w:szCs w:val="20"/>
              </w:rPr>
            </w:pPr>
            <w:r w:rsidRPr="00345437">
              <w:rPr>
                <w:rFonts w:ascii="Arial" w:hAnsi="Arial" w:cs="Arial"/>
                <w:b/>
                <w:sz w:val="20"/>
                <w:szCs w:val="20"/>
              </w:rPr>
              <w:t>2</w:t>
            </w:r>
            <w:r w:rsidR="00920ACF" w:rsidRPr="00345437">
              <w:rPr>
                <w:rFonts w:ascii="Arial" w:hAnsi="Arial" w:cs="Arial"/>
                <w:b/>
                <w:sz w:val="20"/>
                <w:szCs w:val="20"/>
              </w:rPr>
              <w:t>.</w:t>
            </w:r>
            <w:r w:rsidR="006D742A" w:rsidRPr="00345437">
              <w:rPr>
                <w:rFonts w:ascii="Arial" w:hAnsi="Arial" w:cs="Arial"/>
                <w:b/>
                <w:sz w:val="20"/>
                <w:szCs w:val="20"/>
              </w:rPr>
              <w:t xml:space="preserve"> </w:t>
            </w:r>
            <w:r w:rsidR="00E23F57" w:rsidRPr="00345437">
              <w:rPr>
                <w:rFonts w:ascii="Arial" w:hAnsi="Arial" w:cs="Arial"/>
                <w:b/>
                <w:sz w:val="20"/>
                <w:szCs w:val="20"/>
              </w:rPr>
              <w:t>Report’s reporting period and reference number</w:t>
            </w:r>
            <w:r w:rsidR="006D742A" w:rsidRPr="00345437">
              <w:rPr>
                <w:rFonts w:ascii="Arial" w:hAnsi="Arial" w:cs="Arial"/>
                <w:b/>
                <w:sz w:val="20"/>
                <w:szCs w:val="20"/>
              </w:rPr>
              <w:t xml:space="preserve">  </w:t>
            </w:r>
          </w:p>
        </w:tc>
      </w:tr>
      <w:tr w:rsidR="006D742A" w:rsidRPr="00345437" w:rsidTr="00174F2F">
        <w:trPr>
          <w:gridAfter w:val="1"/>
          <w:wAfter w:w="8" w:type="dxa"/>
          <w:trHeight w:val="185"/>
        </w:trPr>
        <w:tc>
          <w:tcPr>
            <w:tcW w:w="5357" w:type="dxa"/>
            <w:tcBorders>
              <w:bottom w:val="single" w:sz="4" w:space="0" w:color="auto"/>
            </w:tcBorders>
          </w:tcPr>
          <w:p w:rsidR="006D742A" w:rsidRPr="00345437" w:rsidRDefault="00E23F57" w:rsidP="00667DD2">
            <w:pPr>
              <w:tabs>
                <w:tab w:val="left" w:pos="348"/>
              </w:tabs>
              <w:rPr>
                <w:rFonts w:ascii="Arial" w:hAnsi="Arial" w:cs="Arial"/>
                <w:sz w:val="20"/>
                <w:szCs w:val="20"/>
              </w:rPr>
            </w:pPr>
            <w:r w:rsidRPr="00345437">
              <w:rPr>
                <w:rFonts w:ascii="Arial" w:hAnsi="Arial" w:cs="Arial"/>
                <w:sz w:val="20"/>
                <w:szCs w:val="20"/>
              </w:rPr>
              <w:t>2.1 Report for the reporting period from (month/ year) – inclusive to (month/ year) inclusive</w:t>
            </w:r>
          </w:p>
        </w:tc>
        <w:tc>
          <w:tcPr>
            <w:tcW w:w="3819" w:type="dxa"/>
            <w:gridSpan w:val="2"/>
            <w:tcBorders>
              <w:bottom w:val="single" w:sz="4" w:space="0" w:color="auto"/>
            </w:tcBorders>
          </w:tcPr>
          <w:p w:rsidR="006D742A" w:rsidRPr="00345437" w:rsidRDefault="006D742A">
            <w:pPr>
              <w:rPr>
                <w:rFonts w:ascii="Arial" w:hAnsi="Arial" w:cs="Arial"/>
                <w:sz w:val="20"/>
                <w:szCs w:val="20"/>
              </w:rPr>
            </w:pPr>
          </w:p>
        </w:tc>
      </w:tr>
      <w:tr w:rsidR="006D742A" w:rsidRPr="00345437" w:rsidTr="00174F2F">
        <w:trPr>
          <w:gridAfter w:val="1"/>
          <w:wAfter w:w="8" w:type="dxa"/>
          <w:trHeight w:val="135"/>
        </w:trPr>
        <w:tc>
          <w:tcPr>
            <w:tcW w:w="5357" w:type="dxa"/>
            <w:tcBorders>
              <w:bottom w:val="single" w:sz="4" w:space="0" w:color="auto"/>
            </w:tcBorders>
          </w:tcPr>
          <w:p w:rsidR="006D742A" w:rsidRPr="00345437" w:rsidRDefault="00E23F57" w:rsidP="00667DD2">
            <w:pPr>
              <w:rPr>
                <w:rFonts w:ascii="Arial" w:hAnsi="Arial" w:cs="Arial"/>
                <w:sz w:val="20"/>
                <w:szCs w:val="20"/>
              </w:rPr>
            </w:pPr>
            <w:r w:rsidRPr="00345437">
              <w:rPr>
                <w:rFonts w:ascii="Arial" w:hAnsi="Arial" w:cs="Arial"/>
                <w:sz w:val="20"/>
                <w:szCs w:val="20"/>
              </w:rPr>
              <w:t>2.2 Report’s reference number</w:t>
            </w:r>
          </w:p>
        </w:tc>
        <w:tc>
          <w:tcPr>
            <w:tcW w:w="3819" w:type="dxa"/>
            <w:gridSpan w:val="2"/>
            <w:tcBorders>
              <w:bottom w:val="single" w:sz="4" w:space="0" w:color="auto"/>
            </w:tcBorders>
          </w:tcPr>
          <w:p w:rsidR="006D742A" w:rsidRPr="00345437" w:rsidRDefault="006D742A">
            <w:pPr>
              <w:rPr>
                <w:rFonts w:ascii="Arial" w:hAnsi="Arial" w:cs="Arial"/>
                <w:sz w:val="20"/>
                <w:szCs w:val="20"/>
              </w:rPr>
            </w:pPr>
          </w:p>
        </w:tc>
      </w:tr>
      <w:tr w:rsidR="000661E6" w:rsidRPr="00345437" w:rsidTr="00174F2F">
        <w:trPr>
          <w:gridAfter w:val="1"/>
          <w:wAfter w:w="8" w:type="dxa"/>
        </w:trPr>
        <w:tc>
          <w:tcPr>
            <w:tcW w:w="9176" w:type="dxa"/>
            <w:gridSpan w:val="3"/>
            <w:shd w:val="clear" w:color="auto" w:fill="000000"/>
          </w:tcPr>
          <w:p w:rsidR="000661E6" w:rsidRPr="00345437" w:rsidRDefault="00261503" w:rsidP="00667DD2">
            <w:r w:rsidRPr="00345437">
              <w:rPr>
                <w:rFonts w:ascii="Arial" w:hAnsi="Arial" w:cs="Arial"/>
                <w:b/>
                <w:color w:val="FFFFFF"/>
                <w:sz w:val="20"/>
                <w:szCs w:val="20"/>
              </w:rPr>
              <w:t>3</w:t>
            </w:r>
            <w:r w:rsidR="000661E6" w:rsidRPr="00345437">
              <w:rPr>
                <w:rFonts w:ascii="Arial" w:hAnsi="Arial" w:cs="Arial"/>
                <w:b/>
                <w:color w:val="FFFFFF"/>
                <w:sz w:val="20"/>
                <w:szCs w:val="20"/>
              </w:rPr>
              <w:t xml:space="preserve">. </w:t>
            </w:r>
            <w:r w:rsidR="00E23F57" w:rsidRPr="00345437">
              <w:rPr>
                <w:rFonts w:ascii="Arial" w:hAnsi="Arial" w:cs="Arial"/>
                <w:b/>
                <w:sz w:val="20"/>
                <w:szCs w:val="20"/>
              </w:rPr>
              <w:t>Data about the project</w:t>
            </w:r>
          </w:p>
        </w:tc>
      </w:tr>
      <w:tr w:rsidR="00E30D8B" w:rsidRPr="00345437" w:rsidTr="00174F2F">
        <w:trPr>
          <w:gridAfter w:val="1"/>
          <w:wAfter w:w="8" w:type="dxa"/>
          <w:trHeight w:val="473"/>
        </w:trPr>
        <w:tc>
          <w:tcPr>
            <w:tcW w:w="9176" w:type="dxa"/>
            <w:gridSpan w:val="3"/>
          </w:tcPr>
          <w:p w:rsidR="00E30D8B" w:rsidRPr="00F9333D" w:rsidRDefault="00261503" w:rsidP="00667DD2">
            <w:pPr>
              <w:rPr>
                <w:rFonts w:ascii="Arial" w:hAnsi="Arial" w:cs="Arial"/>
                <w:sz w:val="20"/>
                <w:szCs w:val="20"/>
              </w:rPr>
            </w:pPr>
            <w:r w:rsidRPr="00F9333D">
              <w:rPr>
                <w:rFonts w:ascii="Arial" w:hAnsi="Arial" w:cs="Arial"/>
                <w:sz w:val="20"/>
                <w:szCs w:val="20"/>
              </w:rPr>
              <w:t>3</w:t>
            </w:r>
            <w:r w:rsidR="00E30D8B" w:rsidRPr="00F9333D">
              <w:rPr>
                <w:rFonts w:ascii="Arial" w:hAnsi="Arial" w:cs="Arial"/>
                <w:sz w:val="20"/>
                <w:szCs w:val="20"/>
              </w:rPr>
              <w:t xml:space="preserve">.1. </w:t>
            </w:r>
            <w:r w:rsidR="00E23F57" w:rsidRPr="00F9333D">
              <w:rPr>
                <w:rFonts w:ascii="Arial" w:hAnsi="Arial" w:cs="Arial"/>
                <w:sz w:val="20"/>
                <w:szCs w:val="20"/>
              </w:rPr>
              <w:t>Name of the Executing Agency</w:t>
            </w:r>
          </w:p>
          <w:p w:rsidR="00F9333D" w:rsidRPr="00F9333D" w:rsidRDefault="00F9333D" w:rsidP="00667DD2">
            <w:pPr>
              <w:rPr>
                <w:rFonts w:ascii="Arial" w:hAnsi="Arial" w:cs="Arial"/>
                <w:sz w:val="20"/>
                <w:szCs w:val="20"/>
              </w:rPr>
            </w:pPr>
          </w:p>
        </w:tc>
      </w:tr>
      <w:tr w:rsidR="006D742A" w:rsidRPr="00345437" w:rsidTr="00174F2F">
        <w:trPr>
          <w:gridAfter w:val="1"/>
          <w:wAfter w:w="8" w:type="dxa"/>
          <w:trHeight w:val="473"/>
        </w:trPr>
        <w:tc>
          <w:tcPr>
            <w:tcW w:w="9176" w:type="dxa"/>
            <w:gridSpan w:val="3"/>
          </w:tcPr>
          <w:p w:rsidR="006D742A" w:rsidRPr="00F9333D" w:rsidRDefault="00E23F57" w:rsidP="00667DD2">
            <w:pPr>
              <w:rPr>
                <w:rFonts w:ascii="Arial" w:hAnsi="Arial" w:cs="Arial"/>
                <w:sz w:val="20"/>
                <w:szCs w:val="20"/>
              </w:rPr>
            </w:pPr>
            <w:r w:rsidRPr="00F9333D">
              <w:rPr>
                <w:rFonts w:ascii="Arial" w:hAnsi="Arial" w:cs="Arial"/>
                <w:sz w:val="20"/>
                <w:szCs w:val="20"/>
              </w:rPr>
              <w:t>3.2 Project title</w:t>
            </w:r>
            <w:r w:rsidR="006D742A" w:rsidRPr="00F9333D">
              <w:rPr>
                <w:rFonts w:ascii="Arial" w:hAnsi="Arial" w:cs="Arial"/>
                <w:sz w:val="20"/>
                <w:szCs w:val="20"/>
              </w:rPr>
              <w:t xml:space="preserve"> </w:t>
            </w:r>
          </w:p>
          <w:p w:rsidR="00E827A3" w:rsidRDefault="00E827A3" w:rsidP="005729DD">
            <w:pPr>
              <w:rPr>
                <w:rFonts w:ascii="Arial" w:hAnsi="Arial" w:cs="Arial"/>
                <w:sz w:val="20"/>
                <w:szCs w:val="20"/>
              </w:rPr>
            </w:pPr>
          </w:p>
          <w:p w:rsidR="006D742A" w:rsidRPr="00F9333D" w:rsidRDefault="006D742A" w:rsidP="006576A7">
            <w:pPr>
              <w:rPr>
                <w:rFonts w:ascii="Arial" w:hAnsi="Arial" w:cs="Arial"/>
                <w:sz w:val="20"/>
                <w:szCs w:val="20"/>
              </w:rPr>
            </w:pPr>
          </w:p>
        </w:tc>
      </w:tr>
      <w:tr w:rsidR="006D742A" w:rsidRPr="00345437" w:rsidTr="00174F2F">
        <w:trPr>
          <w:gridAfter w:val="1"/>
          <w:wAfter w:w="8" w:type="dxa"/>
          <w:trHeight w:val="472"/>
        </w:trPr>
        <w:tc>
          <w:tcPr>
            <w:tcW w:w="9176" w:type="dxa"/>
            <w:gridSpan w:val="3"/>
          </w:tcPr>
          <w:p w:rsidR="006D742A" w:rsidRPr="00F9333D" w:rsidRDefault="00E23F57" w:rsidP="00667DD2">
            <w:pPr>
              <w:rPr>
                <w:rFonts w:ascii="Arial" w:hAnsi="Arial" w:cs="Arial"/>
                <w:sz w:val="20"/>
                <w:szCs w:val="20"/>
              </w:rPr>
            </w:pPr>
            <w:r w:rsidRPr="00F9333D">
              <w:rPr>
                <w:rFonts w:ascii="Arial" w:hAnsi="Arial" w:cs="Arial"/>
                <w:sz w:val="20"/>
                <w:szCs w:val="20"/>
              </w:rPr>
              <w:t>3.3 Project number</w:t>
            </w:r>
            <w:r w:rsidR="006D742A" w:rsidRPr="00F9333D">
              <w:rPr>
                <w:rFonts w:ascii="Arial" w:hAnsi="Arial" w:cs="Arial"/>
                <w:sz w:val="20"/>
                <w:szCs w:val="20"/>
              </w:rPr>
              <w:t xml:space="preserve"> </w:t>
            </w:r>
          </w:p>
          <w:p w:rsidR="00E827A3" w:rsidRDefault="00E827A3" w:rsidP="005729DD">
            <w:pPr>
              <w:rPr>
                <w:rFonts w:ascii="Arial" w:hAnsi="Arial" w:cs="Arial"/>
                <w:sz w:val="20"/>
                <w:szCs w:val="20"/>
              </w:rPr>
            </w:pPr>
          </w:p>
          <w:p w:rsidR="006D742A" w:rsidRPr="00F9333D" w:rsidRDefault="006D742A" w:rsidP="005729DD">
            <w:pPr>
              <w:rPr>
                <w:rFonts w:ascii="Arial" w:hAnsi="Arial" w:cs="Arial"/>
                <w:sz w:val="20"/>
                <w:szCs w:val="20"/>
              </w:rPr>
            </w:pPr>
          </w:p>
        </w:tc>
      </w:tr>
      <w:tr w:rsidR="006D742A" w:rsidRPr="00345437" w:rsidTr="00174F2F">
        <w:trPr>
          <w:gridAfter w:val="1"/>
          <w:wAfter w:w="8" w:type="dxa"/>
        </w:trPr>
        <w:tc>
          <w:tcPr>
            <w:tcW w:w="9176" w:type="dxa"/>
            <w:gridSpan w:val="3"/>
          </w:tcPr>
          <w:p w:rsidR="001663BA" w:rsidRPr="00F9333D" w:rsidRDefault="00E23F57" w:rsidP="00667DD2">
            <w:pPr>
              <w:rPr>
                <w:rFonts w:ascii="Arial" w:hAnsi="Arial" w:cs="Arial"/>
                <w:sz w:val="20"/>
                <w:szCs w:val="20"/>
              </w:rPr>
            </w:pPr>
            <w:r w:rsidRPr="00F9333D">
              <w:rPr>
                <w:rFonts w:ascii="Arial" w:hAnsi="Arial" w:cs="Arial"/>
                <w:sz w:val="20"/>
                <w:szCs w:val="20"/>
              </w:rPr>
              <w:t>3.4 Total project grant in CHF</w:t>
            </w:r>
          </w:p>
          <w:p w:rsidR="006576A7" w:rsidRPr="00CA3E29" w:rsidRDefault="006576A7" w:rsidP="006576A7">
            <w:pPr>
              <w:rPr>
                <w:rFonts w:ascii="Arial" w:hAnsi="Arial" w:cs="Arial"/>
                <w:sz w:val="20"/>
                <w:szCs w:val="20"/>
                <w:lang w:val="en-US"/>
              </w:rPr>
            </w:pPr>
          </w:p>
          <w:p w:rsidR="006D742A" w:rsidRPr="00F9333D" w:rsidRDefault="006D742A" w:rsidP="006576A7">
            <w:pPr>
              <w:rPr>
                <w:rFonts w:ascii="Arial" w:hAnsi="Arial" w:cs="Arial"/>
                <w:sz w:val="20"/>
                <w:szCs w:val="20"/>
              </w:rPr>
            </w:pPr>
          </w:p>
        </w:tc>
      </w:tr>
      <w:tr w:rsidR="007F2016" w:rsidRPr="00345437" w:rsidTr="007F2016">
        <w:trPr>
          <w:gridAfter w:val="1"/>
          <w:wAfter w:w="8" w:type="dxa"/>
        </w:trPr>
        <w:tc>
          <w:tcPr>
            <w:tcW w:w="9176" w:type="dxa"/>
            <w:gridSpan w:val="3"/>
            <w:tcBorders>
              <w:bottom w:val="single" w:sz="4" w:space="0" w:color="auto"/>
            </w:tcBorders>
            <w:shd w:val="clear" w:color="auto" w:fill="000000"/>
          </w:tcPr>
          <w:p w:rsidR="007F2016" w:rsidRPr="00345437" w:rsidRDefault="007F2016" w:rsidP="00667DD2">
            <w:pPr>
              <w:rPr>
                <w:rFonts w:ascii="Arial" w:hAnsi="Arial" w:cs="Arial"/>
                <w:b/>
                <w:sz w:val="20"/>
                <w:szCs w:val="20"/>
              </w:rPr>
            </w:pPr>
            <w:r>
              <w:rPr>
                <w:rFonts w:ascii="Arial" w:hAnsi="Arial" w:cs="Arial"/>
                <w:b/>
                <w:sz w:val="20"/>
                <w:szCs w:val="20"/>
              </w:rPr>
              <w:t>4. Development / no development</w:t>
            </w:r>
            <w:r w:rsidRPr="00D016A1">
              <w:rPr>
                <w:rFonts w:ascii="Arial" w:hAnsi="Arial" w:cs="Arial"/>
                <w:b/>
                <w:sz w:val="20"/>
                <w:szCs w:val="20"/>
              </w:rPr>
              <w:t xml:space="preserve"> to report</w:t>
            </w:r>
          </w:p>
        </w:tc>
      </w:tr>
      <w:tr w:rsidR="007F2016" w:rsidRPr="00345437" w:rsidTr="007F2016">
        <w:trPr>
          <w:gridAfter w:val="1"/>
          <w:wAfter w:w="8" w:type="dxa"/>
        </w:trPr>
        <w:tc>
          <w:tcPr>
            <w:tcW w:w="8151" w:type="dxa"/>
            <w:gridSpan w:val="2"/>
            <w:shd w:val="clear" w:color="auto" w:fill="auto"/>
          </w:tcPr>
          <w:p w:rsidR="007F2016" w:rsidRDefault="007F2016" w:rsidP="00667DD2">
            <w:pPr>
              <w:rPr>
                <w:rFonts w:ascii="Arial" w:hAnsi="Arial" w:cs="Arial"/>
                <w:b/>
                <w:sz w:val="20"/>
                <w:szCs w:val="20"/>
              </w:rPr>
            </w:pPr>
            <w:r>
              <w:rPr>
                <w:rFonts w:ascii="Arial" w:hAnsi="Arial" w:cs="Arial"/>
                <w:sz w:val="20"/>
                <w:szCs w:val="20"/>
              </w:rPr>
              <w:t>4</w:t>
            </w:r>
            <w:r w:rsidRPr="001F7758">
              <w:rPr>
                <w:rFonts w:ascii="Arial" w:hAnsi="Arial" w:cs="Arial"/>
                <w:sz w:val="20"/>
                <w:szCs w:val="20"/>
              </w:rPr>
              <w:t xml:space="preserve">.1 If no </w:t>
            </w:r>
            <w:r>
              <w:rPr>
                <w:rFonts w:ascii="Arial" w:hAnsi="Arial" w:cs="Arial"/>
                <w:sz w:val="20"/>
                <w:szCs w:val="20"/>
              </w:rPr>
              <w:t>development regarding the earlier reported irregularity, tick this box (part</w:t>
            </w:r>
            <w:r w:rsidRPr="001F7758">
              <w:rPr>
                <w:rFonts w:ascii="Arial" w:hAnsi="Arial" w:cs="Arial"/>
                <w:sz w:val="20"/>
                <w:szCs w:val="20"/>
              </w:rPr>
              <w:t xml:space="preserve"> </w:t>
            </w:r>
            <w:r>
              <w:rPr>
                <w:rFonts w:ascii="Arial" w:hAnsi="Arial" w:cs="Arial"/>
                <w:sz w:val="20"/>
                <w:szCs w:val="20"/>
              </w:rPr>
              <w:t>5</w:t>
            </w:r>
            <w:r w:rsidRPr="001F7758">
              <w:rPr>
                <w:rFonts w:ascii="Arial" w:hAnsi="Arial" w:cs="Arial"/>
                <w:sz w:val="20"/>
                <w:szCs w:val="20"/>
              </w:rPr>
              <w:t xml:space="preserve"> of this table does not need completing)</w:t>
            </w:r>
          </w:p>
        </w:tc>
        <w:tc>
          <w:tcPr>
            <w:tcW w:w="1025" w:type="dxa"/>
            <w:shd w:val="clear" w:color="auto" w:fill="auto"/>
          </w:tcPr>
          <w:p w:rsidR="007F2016" w:rsidRDefault="007F2016" w:rsidP="00667DD2">
            <w:pPr>
              <w:rPr>
                <w:rFonts w:ascii="Arial" w:hAnsi="Arial" w:cs="Arial"/>
                <w:b/>
                <w:sz w:val="20"/>
                <w:szCs w:val="20"/>
              </w:rPr>
            </w:pPr>
          </w:p>
        </w:tc>
      </w:tr>
      <w:tr w:rsidR="007F2016" w:rsidRPr="00345437" w:rsidTr="007F2016">
        <w:trPr>
          <w:gridAfter w:val="1"/>
          <w:wAfter w:w="8" w:type="dxa"/>
        </w:trPr>
        <w:tc>
          <w:tcPr>
            <w:tcW w:w="8151" w:type="dxa"/>
            <w:gridSpan w:val="2"/>
            <w:shd w:val="clear" w:color="auto" w:fill="auto"/>
          </w:tcPr>
          <w:p w:rsidR="007F2016" w:rsidRPr="006657B6" w:rsidRDefault="007F2016" w:rsidP="00667DD2">
            <w:pPr>
              <w:rPr>
                <w:rFonts w:ascii="Arial" w:hAnsi="Arial" w:cs="Arial"/>
                <w:sz w:val="20"/>
                <w:szCs w:val="20"/>
              </w:rPr>
            </w:pPr>
            <w:r w:rsidRPr="007F2016">
              <w:rPr>
                <w:rFonts w:ascii="Arial" w:hAnsi="Arial" w:cs="Arial"/>
                <w:sz w:val="20"/>
                <w:szCs w:val="20"/>
              </w:rPr>
              <w:t xml:space="preserve">4.2 </w:t>
            </w:r>
            <w:r w:rsidRPr="001F7758">
              <w:rPr>
                <w:rFonts w:ascii="Arial" w:hAnsi="Arial" w:cs="Arial"/>
                <w:sz w:val="20"/>
                <w:szCs w:val="20"/>
              </w:rPr>
              <w:t xml:space="preserve">If </w:t>
            </w:r>
            <w:r>
              <w:rPr>
                <w:rFonts w:ascii="Arial" w:hAnsi="Arial" w:cs="Arial"/>
                <w:sz w:val="20"/>
                <w:szCs w:val="20"/>
              </w:rPr>
              <w:t>development regarding the earlier reported irregularity</w:t>
            </w:r>
            <w:r w:rsidR="0094732C">
              <w:rPr>
                <w:rFonts w:ascii="Arial" w:hAnsi="Arial" w:cs="Arial"/>
                <w:sz w:val="20"/>
                <w:szCs w:val="20"/>
              </w:rPr>
              <w:t>, tick this box (part</w:t>
            </w:r>
            <w:r w:rsidRPr="001F7758">
              <w:rPr>
                <w:rFonts w:ascii="Arial" w:hAnsi="Arial" w:cs="Arial"/>
                <w:sz w:val="20"/>
                <w:szCs w:val="20"/>
              </w:rPr>
              <w:t xml:space="preserve"> </w:t>
            </w:r>
            <w:r>
              <w:rPr>
                <w:rFonts w:ascii="Arial" w:hAnsi="Arial" w:cs="Arial"/>
                <w:sz w:val="20"/>
                <w:szCs w:val="20"/>
              </w:rPr>
              <w:t>5</w:t>
            </w:r>
            <w:r w:rsidRPr="001F7758">
              <w:rPr>
                <w:rFonts w:ascii="Arial" w:hAnsi="Arial" w:cs="Arial"/>
                <w:sz w:val="20"/>
                <w:szCs w:val="20"/>
              </w:rPr>
              <w:t xml:space="preserve"> of this table must be completed)</w:t>
            </w:r>
          </w:p>
        </w:tc>
        <w:tc>
          <w:tcPr>
            <w:tcW w:w="1025" w:type="dxa"/>
            <w:shd w:val="clear" w:color="auto" w:fill="auto"/>
          </w:tcPr>
          <w:p w:rsidR="007F2016" w:rsidRDefault="0041343C" w:rsidP="00667DD2">
            <w:pPr>
              <w:rPr>
                <w:rFonts w:ascii="Arial" w:hAnsi="Arial" w:cs="Arial"/>
                <w:b/>
                <w:sz w:val="20"/>
                <w:szCs w:val="20"/>
              </w:rPr>
            </w:pPr>
            <w:r>
              <w:rPr>
                <w:rFonts w:ascii="Arial" w:hAnsi="Arial" w:cs="Arial"/>
                <w:b/>
                <w:sz w:val="20"/>
                <w:szCs w:val="20"/>
              </w:rPr>
              <w:t>x</w:t>
            </w:r>
          </w:p>
        </w:tc>
      </w:tr>
      <w:tr w:rsidR="00652FBA" w:rsidRPr="00345437" w:rsidTr="00174F2F">
        <w:trPr>
          <w:gridAfter w:val="1"/>
          <w:wAfter w:w="8" w:type="dxa"/>
        </w:trPr>
        <w:tc>
          <w:tcPr>
            <w:tcW w:w="9176" w:type="dxa"/>
            <w:gridSpan w:val="3"/>
            <w:shd w:val="clear" w:color="auto" w:fill="000000"/>
          </w:tcPr>
          <w:p w:rsidR="00652FBA" w:rsidRPr="00345437" w:rsidRDefault="007F2016" w:rsidP="00667DD2">
            <w:r>
              <w:rPr>
                <w:rFonts w:ascii="Arial" w:hAnsi="Arial" w:cs="Arial"/>
                <w:b/>
                <w:sz w:val="20"/>
                <w:szCs w:val="20"/>
              </w:rPr>
              <w:t>5</w:t>
            </w:r>
            <w:r w:rsidR="00652FBA" w:rsidRPr="00345437">
              <w:rPr>
                <w:rFonts w:ascii="Arial" w:hAnsi="Arial" w:cs="Arial"/>
                <w:b/>
                <w:sz w:val="20"/>
                <w:szCs w:val="20"/>
              </w:rPr>
              <w:t>.</w:t>
            </w:r>
            <w:r w:rsidR="0010568E" w:rsidRPr="00345437">
              <w:rPr>
                <w:rFonts w:ascii="Arial" w:hAnsi="Arial" w:cs="Arial"/>
                <w:b/>
                <w:sz w:val="20"/>
                <w:szCs w:val="20"/>
              </w:rPr>
              <w:t xml:space="preserve"> </w:t>
            </w:r>
            <w:r w:rsidR="00E23F57" w:rsidRPr="00345437">
              <w:rPr>
                <w:rFonts w:ascii="Arial" w:hAnsi="Arial" w:cs="Arial"/>
                <w:b/>
                <w:sz w:val="20"/>
                <w:szCs w:val="20"/>
              </w:rPr>
              <w:t>Description of the state of play</w:t>
            </w:r>
            <w:r w:rsidR="00524202" w:rsidRPr="00345437">
              <w:rPr>
                <w:rFonts w:ascii="Arial" w:hAnsi="Arial" w:cs="Arial"/>
                <w:b/>
                <w:sz w:val="20"/>
                <w:szCs w:val="20"/>
              </w:rPr>
              <w:t xml:space="preserve"> </w:t>
            </w:r>
          </w:p>
        </w:tc>
      </w:tr>
      <w:tr w:rsidR="00BD782B" w:rsidRPr="00345437" w:rsidTr="00174F2F">
        <w:trPr>
          <w:gridAfter w:val="1"/>
          <w:wAfter w:w="8" w:type="dxa"/>
        </w:trPr>
        <w:tc>
          <w:tcPr>
            <w:tcW w:w="9176" w:type="dxa"/>
            <w:gridSpan w:val="3"/>
          </w:tcPr>
          <w:p w:rsidR="00524202" w:rsidRPr="00345437" w:rsidRDefault="007F2016" w:rsidP="00667DD2">
            <w:pPr>
              <w:autoSpaceDE w:val="0"/>
              <w:autoSpaceDN w:val="0"/>
              <w:adjustRightInd w:val="0"/>
              <w:rPr>
                <w:sz w:val="20"/>
                <w:szCs w:val="20"/>
                <w:lang w:eastAsia="pl-PL"/>
              </w:rPr>
            </w:pPr>
            <w:r>
              <w:rPr>
                <w:rFonts w:ascii="Arial" w:hAnsi="Arial" w:cs="Arial"/>
                <w:sz w:val="20"/>
                <w:szCs w:val="20"/>
              </w:rPr>
              <w:t>5</w:t>
            </w:r>
            <w:r w:rsidR="00E23F57" w:rsidRPr="00345437">
              <w:rPr>
                <w:rFonts w:ascii="Arial" w:hAnsi="Arial" w:cs="Arial"/>
                <w:sz w:val="20"/>
                <w:szCs w:val="20"/>
              </w:rPr>
              <w:t>.1 Amounts to be recovered</w:t>
            </w:r>
          </w:p>
          <w:p w:rsidR="00D24A1C" w:rsidRDefault="00D24A1C">
            <w:pPr>
              <w:rPr>
                <w:rFonts w:ascii="Arial" w:hAnsi="Arial" w:cs="Arial"/>
                <w:sz w:val="20"/>
                <w:szCs w:val="20"/>
              </w:rPr>
            </w:pPr>
          </w:p>
          <w:p w:rsidR="00BD782B" w:rsidRPr="00345437" w:rsidRDefault="00BD782B" w:rsidP="00406E88">
            <w:pPr>
              <w:rPr>
                <w:rFonts w:ascii="Arial" w:hAnsi="Arial" w:cs="Arial"/>
                <w:sz w:val="20"/>
                <w:szCs w:val="20"/>
              </w:rPr>
            </w:pPr>
          </w:p>
        </w:tc>
      </w:tr>
      <w:tr w:rsidR="00920ACF" w:rsidRPr="00D236A1" w:rsidTr="00174F2F">
        <w:trPr>
          <w:gridAfter w:val="1"/>
          <w:wAfter w:w="8" w:type="dxa"/>
          <w:trHeight w:val="1035"/>
        </w:trPr>
        <w:tc>
          <w:tcPr>
            <w:tcW w:w="9176" w:type="dxa"/>
            <w:gridSpan w:val="3"/>
          </w:tcPr>
          <w:p w:rsidR="00524202" w:rsidRPr="00345437" w:rsidRDefault="007F2016" w:rsidP="00667DD2">
            <w:pPr>
              <w:autoSpaceDE w:val="0"/>
              <w:autoSpaceDN w:val="0"/>
              <w:adjustRightInd w:val="0"/>
              <w:rPr>
                <w:rFonts w:ascii="Arial" w:hAnsi="Arial" w:cs="Arial"/>
                <w:sz w:val="20"/>
                <w:szCs w:val="20"/>
              </w:rPr>
            </w:pPr>
            <w:r>
              <w:rPr>
                <w:rFonts w:ascii="Arial" w:hAnsi="Arial" w:cs="Arial"/>
                <w:sz w:val="20"/>
                <w:szCs w:val="20"/>
              </w:rPr>
              <w:t>5</w:t>
            </w:r>
            <w:r w:rsidR="00E23F57" w:rsidRPr="00345437">
              <w:rPr>
                <w:rFonts w:ascii="Arial" w:hAnsi="Arial" w:cs="Arial"/>
                <w:sz w:val="20"/>
                <w:szCs w:val="20"/>
              </w:rPr>
              <w:t xml:space="preserve">.2 Description of the procedures instituted in order to recover the unduly </w:t>
            </w:r>
            <w:r w:rsidR="001048E6" w:rsidRPr="00345437">
              <w:rPr>
                <w:rFonts w:ascii="Arial" w:hAnsi="Arial" w:cs="Arial"/>
                <w:sz w:val="20"/>
                <w:szCs w:val="20"/>
              </w:rPr>
              <w:t>paid</w:t>
            </w:r>
            <w:r w:rsidR="00E23F57" w:rsidRPr="00345437">
              <w:rPr>
                <w:rFonts w:ascii="Arial" w:hAnsi="Arial" w:cs="Arial"/>
                <w:sz w:val="20"/>
                <w:szCs w:val="20"/>
              </w:rPr>
              <w:t xml:space="preserve"> amounts and to impose sanctions</w:t>
            </w:r>
          </w:p>
          <w:p w:rsidR="00E827A3" w:rsidRPr="00406E88" w:rsidRDefault="00E827A3" w:rsidP="005914C2">
            <w:pPr>
              <w:tabs>
                <w:tab w:val="left" w:pos="348"/>
              </w:tabs>
              <w:ind w:left="6"/>
              <w:jc w:val="both"/>
              <w:rPr>
                <w:rFonts w:ascii="Arial" w:hAnsi="Arial" w:cs="Arial"/>
                <w:sz w:val="20"/>
                <w:szCs w:val="20"/>
              </w:rPr>
            </w:pPr>
          </w:p>
          <w:p w:rsidR="005F4585" w:rsidRPr="00D236A1" w:rsidRDefault="005F4585" w:rsidP="00467926">
            <w:pPr>
              <w:tabs>
                <w:tab w:val="left" w:pos="348"/>
              </w:tabs>
              <w:jc w:val="both"/>
              <w:rPr>
                <w:rFonts w:ascii="Arial" w:hAnsi="Arial" w:cs="Arial"/>
                <w:sz w:val="20"/>
                <w:szCs w:val="20"/>
                <w:lang w:val="en-US"/>
              </w:rPr>
            </w:pPr>
          </w:p>
        </w:tc>
      </w:tr>
      <w:tr w:rsidR="00EA06C8" w:rsidRPr="00345437" w:rsidTr="00174F2F">
        <w:trPr>
          <w:gridAfter w:val="1"/>
          <w:wAfter w:w="8" w:type="dxa"/>
        </w:trPr>
        <w:tc>
          <w:tcPr>
            <w:tcW w:w="9176" w:type="dxa"/>
            <w:gridSpan w:val="3"/>
          </w:tcPr>
          <w:p w:rsidR="002A1F56" w:rsidRPr="00345437" w:rsidRDefault="007F2016" w:rsidP="00667DD2">
            <w:pPr>
              <w:autoSpaceDE w:val="0"/>
              <w:autoSpaceDN w:val="0"/>
              <w:adjustRightInd w:val="0"/>
              <w:rPr>
                <w:rFonts w:ascii="Arial" w:hAnsi="Arial" w:cs="Arial"/>
                <w:sz w:val="20"/>
                <w:szCs w:val="20"/>
              </w:rPr>
            </w:pPr>
            <w:r>
              <w:rPr>
                <w:rFonts w:ascii="Arial" w:hAnsi="Arial" w:cs="Arial"/>
                <w:sz w:val="20"/>
                <w:szCs w:val="20"/>
              </w:rPr>
              <w:t>5</w:t>
            </w:r>
            <w:r w:rsidR="00E23F57" w:rsidRPr="00345437">
              <w:rPr>
                <w:rFonts w:ascii="Arial" w:hAnsi="Arial" w:cs="Arial"/>
                <w:sz w:val="20"/>
                <w:szCs w:val="20"/>
              </w:rPr>
              <w:t>.3 Description of the administrative or judicial decisions</w:t>
            </w:r>
            <w:r w:rsidR="009523FD" w:rsidRPr="00345437">
              <w:rPr>
                <w:rFonts w:ascii="Arial" w:hAnsi="Arial" w:cs="Arial"/>
                <w:sz w:val="20"/>
                <w:szCs w:val="20"/>
              </w:rPr>
              <w:t>,</w:t>
            </w:r>
            <w:r w:rsidR="00E23F57" w:rsidRPr="00345437">
              <w:rPr>
                <w:rFonts w:ascii="Arial" w:hAnsi="Arial" w:cs="Arial"/>
                <w:sz w:val="20"/>
                <w:szCs w:val="20"/>
              </w:rPr>
              <w:t xml:space="preserve"> or the most important </w:t>
            </w:r>
            <w:r w:rsidR="009523FD" w:rsidRPr="00345437">
              <w:rPr>
                <w:rFonts w:ascii="Arial" w:hAnsi="Arial" w:cs="Arial"/>
                <w:sz w:val="20"/>
                <w:szCs w:val="20"/>
              </w:rPr>
              <w:t>assumptions, on discontinuance of proceedings aimed at grant recovery and/or imposition of sanctions</w:t>
            </w:r>
          </w:p>
          <w:p w:rsidR="00DF38C0" w:rsidRPr="00345437" w:rsidRDefault="00DF38C0" w:rsidP="00D236A1">
            <w:pPr>
              <w:tabs>
                <w:tab w:val="left" w:pos="348"/>
              </w:tabs>
              <w:rPr>
                <w:rFonts w:ascii="Arial" w:hAnsi="Arial" w:cs="Arial"/>
                <w:sz w:val="20"/>
                <w:szCs w:val="20"/>
              </w:rPr>
            </w:pPr>
          </w:p>
          <w:p w:rsidR="002A1F56" w:rsidRPr="00345437" w:rsidRDefault="002A1F56" w:rsidP="00D236A1">
            <w:pPr>
              <w:tabs>
                <w:tab w:val="left" w:pos="348"/>
              </w:tabs>
              <w:ind w:left="6"/>
              <w:rPr>
                <w:rFonts w:ascii="Arial" w:hAnsi="Arial" w:cs="Arial"/>
                <w:sz w:val="20"/>
                <w:szCs w:val="20"/>
              </w:rPr>
            </w:pPr>
          </w:p>
        </w:tc>
      </w:tr>
      <w:tr w:rsidR="002A1F56" w:rsidRPr="00345437" w:rsidTr="00174F2F">
        <w:trPr>
          <w:gridAfter w:val="1"/>
          <w:wAfter w:w="8" w:type="dxa"/>
        </w:trPr>
        <w:tc>
          <w:tcPr>
            <w:tcW w:w="9176" w:type="dxa"/>
            <w:gridSpan w:val="3"/>
          </w:tcPr>
          <w:p w:rsidR="00E827A3" w:rsidRDefault="007F2016" w:rsidP="00D236A1">
            <w:pPr>
              <w:autoSpaceDE w:val="0"/>
              <w:autoSpaceDN w:val="0"/>
              <w:adjustRightInd w:val="0"/>
              <w:rPr>
                <w:rFonts w:ascii="Arial" w:hAnsi="Arial" w:cs="Arial"/>
                <w:sz w:val="20"/>
                <w:szCs w:val="20"/>
              </w:rPr>
            </w:pPr>
            <w:r>
              <w:rPr>
                <w:rFonts w:ascii="Arial" w:hAnsi="Arial" w:cs="Arial"/>
                <w:sz w:val="20"/>
                <w:szCs w:val="20"/>
              </w:rPr>
              <w:t>5</w:t>
            </w:r>
            <w:r w:rsidR="009523FD" w:rsidRPr="00345437">
              <w:rPr>
                <w:rFonts w:ascii="Arial" w:hAnsi="Arial" w:cs="Arial"/>
                <w:sz w:val="20"/>
                <w:szCs w:val="20"/>
              </w:rPr>
              <w:t>.4 Specification of measures taken to prevent and avoid similar irregularities</w:t>
            </w:r>
          </w:p>
          <w:p w:rsidR="00EF7053" w:rsidRPr="00345437" w:rsidRDefault="00EF7053" w:rsidP="00467926">
            <w:pPr>
              <w:tabs>
                <w:tab w:val="left" w:pos="348"/>
              </w:tabs>
              <w:rPr>
                <w:rFonts w:ascii="Arial" w:hAnsi="Arial" w:cs="Arial"/>
                <w:sz w:val="20"/>
                <w:szCs w:val="20"/>
              </w:rPr>
            </w:pPr>
          </w:p>
        </w:tc>
      </w:tr>
      <w:tr w:rsidR="009B53E5" w:rsidRPr="00345437" w:rsidTr="00174F2F">
        <w:trPr>
          <w:gridAfter w:val="1"/>
          <w:wAfter w:w="8" w:type="dxa"/>
        </w:trPr>
        <w:tc>
          <w:tcPr>
            <w:tcW w:w="9176" w:type="dxa"/>
            <w:gridSpan w:val="3"/>
          </w:tcPr>
          <w:p w:rsidR="009B53E5" w:rsidRPr="00345437" w:rsidRDefault="007F2016" w:rsidP="00667DD2">
            <w:pPr>
              <w:tabs>
                <w:tab w:val="left" w:pos="348"/>
              </w:tabs>
              <w:rPr>
                <w:rFonts w:ascii="Arial" w:hAnsi="Arial" w:cs="Arial"/>
                <w:sz w:val="20"/>
                <w:szCs w:val="20"/>
              </w:rPr>
            </w:pPr>
            <w:r>
              <w:rPr>
                <w:rFonts w:ascii="Arial" w:hAnsi="Arial" w:cs="Arial"/>
                <w:sz w:val="20"/>
                <w:szCs w:val="20"/>
              </w:rPr>
              <w:t>5</w:t>
            </w:r>
            <w:r w:rsidR="009523FD" w:rsidRPr="00345437">
              <w:rPr>
                <w:rFonts w:ascii="Arial" w:hAnsi="Arial" w:cs="Arial"/>
                <w:sz w:val="20"/>
                <w:szCs w:val="20"/>
              </w:rPr>
              <w:t>.5 Other important information (including the information that was not available during the submission of previous reports on the irregularity in question)</w:t>
            </w:r>
            <w:r w:rsidR="00524202" w:rsidRPr="00345437">
              <w:rPr>
                <w:rFonts w:ascii="Arial" w:hAnsi="Arial" w:cs="Arial"/>
                <w:sz w:val="20"/>
                <w:szCs w:val="20"/>
              </w:rPr>
              <w:t xml:space="preserve">  </w:t>
            </w:r>
          </w:p>
          <w:p w:rsidR="009B53E5" w:rsidRPr="00345437" w:rsidRDefault="009B53E5" w:rsidP="00174F2F">
            <w:pPr>
              <w:tabs>
                <w:tab w:val="left" w:pos="348"/>
              </w:tabs>
              <w:rPr>
                <w:rFonts w:ascii="Arial" w:hAnsi="Arial" w:cs="Arial"/>
                <w:sz w:val="20"/>
                <w:szCs w:val="20"/>
              </w:rPr>
            </w:pPr>
          </w:p>
          <w:p w:rsidR="009B53E5" w:rsidRPr="00345437" w:rsidRDefault="009B53E5" w:rsidP="00174F2F">
            <w:pPr>
              <w:tabs>
                <w:tab w:val="left" w:pos="348"/>
              </w:tabs>
              <w:rPr>
                <w:rFonts w:ascii="Arial" w:hAnsi="Arial" w:cs="Arial"/>
                <w:sz w:val="20"/>
                <w:szCs w:val="20"/>
              </w:rPr>
            </w:pPr>
          </w:p>
        </w:tc>
      </w:tr>
    </w:tbl>
    <w:p w:rsidR="00435166" w:rsidRPr="00345437" w:rsidRDefault="009523FD" w:rsidP="00667DD2">
      <w:pPr>
        <w:rPr>
          <w:rFonts w:ascii="Arial" w:hAnsi="Arial" w:cs="Arial"/>
          <w:b/>
          <w:sz w:val="20"/>
          <w:szCs w:val="20"/>
        </w:rPr>
      </w:pPr>
      <w:r w:rsidRPr="00345437">
        <w:rPr>
          <w:rFonts w:ascii="Arial" w:hAnsi="Arial" w:cs="Arial"/>
          <w:b/>
          <w:sz w:val="20"/>
          <w:szCs w:val="20"/>
        </w:rPr>
        <w:t>The report has been drawn up in</w:t>
      </w:r>
    </w:p>
    <w:p w:rsidR="00435166" w:rsidRPr="00345437" w:rsidRDefault="00435166" w:rsidP="00435166">
      <w:pPr>
        <w:rPr>
          <w:rFonts w:ascii="Arial" w:hAnsi="Arial" w:cs="Arial"/>
          <w:sz w:val="20"/>
          <w:szCs w:val="20"/>
        </w:rPr>
      </w:pPr>
    </w:p>
    <w:p w:rsidR="00435166" w:rsidRPr="00345437" w:rsidRDefault="00435166" w:rsidP="00435166">
      <w:pPr>
        <w:rPr>
          <w:rFonts w:ascii="Arial" w:hAnsi="Arial" w:cs="Arial"/>
          <w:sz w:val="20"/>
          <w:szCs w:val="20"/>
        </w:rPr>
      </w:pPr>
    </w:p>
    <w:p w:rsidR="00435166" w:rsidRPr="00345437" w:rsidRDefault="001D555D" w:rsidP="00435166">
      <w:pPr>
        <w:rPr>
          <w:rFonts w:ascii="Arial" w:hAnsi="Arial" w:cs="Arial"/>
          <w:sz w:val="20"/>
          <w:szCs w:val="20"/>
        </w:rPr>
      </w:pPr>
      <w:r>
        <w:rPr>
          <w:rFonts w:ascii="Arial" w:hAnsi="Arial" w:cs="Arial"/>
          <w:sz w:val="20"/>
          <w:szCs w:val="20"/>
        </w:rPr>
        <w:t xml:space="preserve">Warsaw,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435166" w:rsidRPr="00345437" w:rsidRDefault="00435166" w:rsidP="00435166">
      <w:pPr>
        <w:rPr>
          <w:rFonts w:ascii="Arial" w:hAnsi="Arial" w:cs="Arial"/>
          <w:sz w:val="20"/>
          <w:szCs w:val="20"/>
        </w:rPr>
      </w:pPr>
      <w:r w:rsidRPr="00345437">
        <w:rPr>
          <w:rFonts w:ascii="Arial" w:hAnsi="Arial" w:cs="Arial"/>
          <w:sz w:val="20"/>
          <w:szCs w:val="20"/>
        </w:rPr>
        <w:t>__________________________________________________________________</w:t>
      </w:r>
    </w:p>
    <w:p w:rsidR="00435166" w:rsidRPr="00345437" w:rsidRDefault="009523FD" w:rsidP="00667DD2">
      <w:pPr>
        <w:rPr>
          <w:rFonts w:ascii="Arial" w:hAnsi="Arial" w:cs="Arial"/>
          <w:sz w:val="20"/>
          <w:szCs w:val="20"/>
        </w:rPr>
      </w:pPr>
      <w:r w:rsidRPr="00345437">
        <w:rPr>
          <w:rFonts w:ascii="Arial" w:hAnsi="Arial" w:cs="Arial"/>
          <w:sz w:val="20"/>
          <w:szCs w:val="20"/>
        </w:rPr>
        <w:t>(Place)</w:t>
      </w:r>
      <w:r w:rsidR="00435166" w:rsidRPr="00345437">
        <w:rPr>
          <w:rFonts w:ascii="Arial" w:hAnsi="Arial" w:cs="Arial"/>
          <w:sz w:val="20"/>
          <w:szCs w:val="20"/>
        </w:rPr>
        <w:t xml:space="preserve"> </w:t>
      </w:r>
      <w:r w:rsidR="00435166" w:rsidRPr="00345437">
        <w:rPr>
          <w:rFonts w:ascii="Arial" w:hAnsi="Arial" w:cs="Arial"/>
          <w:sz w:val="20"/>
          <w:szCs w:val="20"/>
        </w:rPr>
        <w:tab/>
      </w:r>
      <w:r w:rsidR="00435166" w:rsidRPr="00345437">
        <w:rPr>
          <w:rFonts w:ascii="Arial" w:hAnsi="Arial" w:cs="Arial"/>
          <w:sz w:val="20"/>
          <w:szCs w:val="20"/>
        </w:rPr>
        <w:tab/>
      </w:r>
      <w:r w:rsidR="00435166" w:rsidRPr="00345437">
        <w:rPr>
          <w:rFonts w:ascii="Arial" w:hAnsi="Arial" w:cs="Arial"/>
          <w:sz w:val="20"/>
          <w:szCs w:val="20"/>
        </w:rPr>
        <w:tab/>
      </w:r>
      <w:r w:rsidR="00435166" w:rsidRPr="00345437">
        <w:rPr>
          <w:rFonts w:ascii="Arial" w:hAnsi="Arial" w:cs="Arial"/>
          <w:sz w:val="20"/>
          <w:szCs w:val="20"/>
        </w:rPr>
        <w:tab/>
      </w:r>
      <w:r w:rsidR="00435166" w:rsidRPr="00345437">
        <w:rPr>
          <w:rFonts w:ascii="Arial" w:hAnsi="Arial" w:cs="Arial"/>
          <w:sz w:val="20"/>
          <w:szCs w:val="20"/>
        </w:rPr>
        <w:tab/>
      </w:r>
      <w:r w:rsidR="00435166" w:rsidRPr="00345437">
        <w:rPr>
          <w:rFonts w:ascii="Arial" w:hAnsi="Arial" w:cs="Arial"/>
          <w:sz w:val="20"/>
          <w:szCs w:val="20"/>
        </w:rPr>
        <w:tab/>
      </w:r>
      <w:r w:rsidR="00435166" w:rsidRPr="00345437">
        <w:rPr>
          <w:rFonts w:ascii="Arial" w:hAnsi="Arial" w:cs="Arial"/>
          <w:sz w:val="20"/>
          <w:szCs w:val="20"/>
        </w:rPr>
        <w:tab/>
      </w:r>
      <w:r w:rsidRPr="00345437">
        <w:rPr>
          <w:rFonts w:ascii="Arial" w:hAnsi="Arial" w:cs="Arial"/>
          <w:sz w:val="20"/>
          <w:szCs w:val="20"/>
        </w:rPr>
        <w:t>(Date)</w:t>
      </w:r>
    </w:p>
    <w:p w:rsidR="00435166" w:rsidRPr="00345437" w:rsidRDefault="00435166" w:rsidP="00435166">
      <w:pPr>
        <w:rPr>
          <w:rFonts w:ascii="Arial" w:hAnsi="Arial" w:cs="Arial"/>
          <w:sz w:val="20"/>
          <w:szCs w:val="20"/>
        </w:rPr>
      </w:pPr>
    </w:p>
    <w:p w:rsidR="00435166" w:rsidRPr="00345437" w:rsidRDefault="00435166" w:rsidP="00435166">
      <w:pPr>
        <w:rPr>
          <w:rFonts w:ascii="Arial" w:hAnsi="Arial" w:cs="Arial"/>
          <w:sz w:val="20"/>
          <w:szCs w:val="20"/>
        </w:rPr>
      </w:pPr>
    </w:p>
    <w:p w:rsidR="00435166" w:rsidRPr="00345437" w:rsidRDefault="009523FD" w:rsidP="00667DD2">
      <w:pPr>
        <w:rPr>
          <w:rFonts w:ascii="Arial" w:hAnsi="Arial" w:cs="Arial"/>
          <w:b/>
          <w:sz w:val="20"/>
          <w:szCs w:val="20"/>
        </w:rPr>
      </w:pPr>
      <w:r w:rsidRPr="00345437">
        <w:rPr>
          <w:rFonts w:ascii="Arial" w:hAnsi="Arial" w:cs="Arial"/>
          <w:b/>
          <w:sz w:val="20"/>
          <w:szCs w:val="20"/>
        </w:rPr>
        <w:t>by</w:t>
      </w:r>
      <w:r w:rsidR="00435166" w:rsidRPr="00345437">
        <w:rPr>
          <w:rFonts w:ascii="Arial" w:hAnsi="Arial" w:cs="Arial"/>
          <w:b/>
          <w:sz w:val="20"/>
          <w:szCs w:val="20"/>
        </w:rPr>
        <w:t xml:space="preserve"> </w:t>
      </w:r>
    </w:p>
    <w:p w:rsidR="00435166" w:rsidRPr="00345437" w:rsidRDefault="00435166" w:rsidP="00435166">
      <w:pPr>
        <w:rPr>
          <w:rFonts w:ascii="Arial" w:hAnsi="Arial" w:cs="Arial"/>
          <w:sz w:val="20"/>
          <w:szCs w:val="20"/>
        </w:rPr>
      </w:pPr>
    </w:p>
    <w:p w:rsidR="00435166" w:rsidRPr="00345437" w:rsidRDefault="00435166" w:rsidP="00435166">
      <w:pPr>
        <w:rPr>
          <w:rFonts w:ascii="Arial" w:hAnsi="Arial" w:cs="Arial"/>
          <w:sz w:val="20"/>
          <w:szCs w:val="20"/>
        </w:rPr>
      </w:pPr>
    </w:p>
    <w:p w:rsidR="00435166" w:rsidRPr="00345437" w:rsidRDefault="00435166" w:rsidP="00435166">
      <w:pPr>
        <w:rPr>
          <w:rFonts w:ascii="Arial" w:hAnsi="Arial" w:cs="Arial"/>
          <w:sz w:val="20"/>
          <w:szCs w:val="20"/>
        </w:rPr>
      </w:pPr>
      <w:bookmarkStart w:id="0" w:name="_GoBack"/>
      <w:bookmarkEnd w:id="0"/>
      <w:r w:rsidRPr="00345437">
        <w:rPr>
          <w:rFonts w:ascii="Arial" w:hAnsi="Arial" w:cs="Arial"/>
          <w:sz w:val="20"/>
          <w:szCs w:val="20"/>
        </w:rPr>
        <w:t>__________________________________________________________________</w:t>
      </w:r>
    </w:p>
    <w:p w:rsidR="00435166" w:rsidRPr="00345437" w:rsidRDefault="00435166" w:rsidP="00667DD2">
      <w:pPr>
        <w:rPr>
          <w:rFonts w:ascii="Arial" w:hAnsi="Arial" w:cs="Arial"/>
          <w:sz w:val="20"/>
          <w:szCs w:val="20"/>
        </w:rPr>
      </w:pPr>
      <w:r w:rsidRPr="00345437">
        <w:rPr>
          <w:rFonts w:ascii="Arial" w:hAnsi="Arial" w:cs="Arial"/>
          <w:sz w:val="20"/>
          <w:szCs w:val="20"/>
        </w:rPr>
        <w:t xml:space="preserve"> </w:t>
      </w:r>
      <w:r w:rsidR="009523FD" w:rsidRPr="00345437">
        <w:rPr>
          <w:rFonts w:ascii="Arial" w:hAnsi="Arial" w:cs="Arial"/>
          <w:sz w:val="20"/>
          <w:szCs w:val="20"/>
        </w:rPr>
        <w:t>(Name and surname, official position, institution)</w:t>
      </w:r>
      <w:r w:rsidRPr="00345437">
        <w:rPr>
          <w:rFonts w:ascii="Arial" w:hAnsi="Arial" w:cs="Arial"/>
          <w:sz w:val="20"/>
          <w:szCs w:val="20"/>
        </w:rPr>
        <w:t xml:space="preserve"> </w:t>
      </w:r>
    </w:p>
    <w:p w:rsidR="0055668A" w:rsidRPr="00345437" w:rsidRDefault="0055668A" w:rsidP="00435166"/>
    <w:p w:rsidR="00E30D8B" w:rsidRPr="00345437" w:rsidRDefault="00E30D8B" w:rsidP="009A7D81">
      <w:pPr>
        <w:ind w:right="-10"/>
        <w:jc w:val="both"/>
        <w:rPr>
          <w:rFonts w:ascii="Arial" w:hAnsi="Arial" w:cs="Arial"/>
          <w:sz w:val="22"/>
          <w:szCs w:val="22"/>
        </w:rPr>
      </w:pPr>
    </w:p>
    <w:p w:rsidR="009A7D81" w:rsidRPr="00345437" w:rsidRDefault="009A7D81" w:rsidP="009A7D81">
      <w:pPr>
        <w:ind w:right="-10"/>
        <w:jc w:val="both"/>
        <w:rPr>
          <w:rFonts w:ascii="Arial" w:hAnsi="Arial" w:cs="Arial"/>
          <w:sz w:val="22"/>
          <w:szCs w:val="22"/>
        </w:rPr>
      </w:pPr>
    </w:p>
    <w:p w:rsidR="00E30D8B" w:rsidRPr="00345437" w:rsidRDefault="00E30D8B" w:rsidP="00B57B64">
      <w:pPr>
        <w:ind w:right="-10"/>
        <w:jc w:val="center"/>
        <w:rPr>
          <w:rFonts w:ascii="Arial" w:hAnsi="Arial" w:cs="Arial"/>
          <w:b/>
          <w:sz w:val="22"/>
          <w:szCs w:val="22"/>
        </w:rPr>
      </w:pPr>
    </w:p>
    <w:p w:rsidR="00B57B64" w:rsidRPr="00345437" w:rsidRDefault="00A918E5" w:rsidP="00667DD2">
      <w:pPr>
        <w:ind w:right="-10"/>
        <w:jc w:val="center"/>
        <w:rPr>
          <w:rFonts w:ascii="Arial" w:hAnsi="Arial" w:cs="Arial"/>
          <w:b/>
          <w:sz w:val="22"/>
          <w:szCs w:val="22"/>
        </w:rPr>
      </w:pPr>
      <w:r w:rsidRPr="00345437">
        <w:rPr>
          <w:rFonts w:ascii="Arial" w:hAnsi="Arial" w:cs="Arial"/>
          <w:b/>
          <w:sz w:val="22"/>
          <w:szCs w:val="22"/>
        </w:rPr>
        <w:t>Brief instruction for the report on measures taken with reference to a previously reported irregularity for the Swiss-Polish Cooperation Programme</w:t>
      </w:r>
    </w:p>
    <w:p w:rsidR="009A7D81" w:rsidRPr="00345437" w:rsidRDefault="009A7D81" w:rsidP="009A7D81">
      <w:pPr>
        <w:ind w:right="-10"/>
        <w:jc w:val="both"/>
        <w:rPr>
          <w:rFonts w:ascii="Arial" w:hAnsi="Arial" w:cs="Arial"/>
          <w:sz w:val="22"/>
          <w:szCs w:val="22"/>
        </w:rPr>
      </w:pPr>
    </w:p>
    <w:p w:rsidR="00B57B64" w:rsidRPr="00345437" w:rsidRDefault="00B57B64" w:rsidP="009A7D81">
      <w:pPr>
        <w:ind w:right="-10"/>
        <w:jc w:val="both"/>
        <w:rPr>
          <w:rFonts w:ascii="Arial" w:hAnsi="Arial" w:cs="Arial"/>
          <w:sz w:val="28"/>
          <w:szCs w:val="28"/>
        </w:rPr>
      </w:pPr>
    </w:p>
    <w:p w:rsidR="009A7D81" w:rsidRPr="00345437" w:rsidRDefault="00A918E5" w:rsidP="00667DD2">
      <w:pPr>
        <w:ind w:right="462"/>
        <w:jc w:val="both"/>
        <w:rPr>
          <w:rFonts w:ascii="Arial" w:hAnsi="Arial" w:cs="Arial"/>
          <w:b/>
          <w:sz w:val="22"/>
          <w:szCs w:val="22"/>
        </w:rPr>
      </w:pPr>
      <w:r w:rsidRPr="00345437">
        <w:rPr>
          <w:rFonts w:ascii="Arial" w:hAnsi="Arial" w:cs="Arial"/>
          <w:b/>
          <w:sz w:val="22"/>
          <w:szCs w:val="22"/>
        </w:rPr>
        <w:t>Reporting periods</w:t>
      </w:r>
      <w:r w:rsidR="009A7D81" w:rsidRPr="00345437">
        <w:rPr>
          <w:rFonts w:ascii="Arial" w:hAnsi="Arial" w:cs="Arial"/>
          <w:b/>
          <w:sz w:val="22"/>
          <w:szCs w:val="22"/>
        </w:rPr>
        <w:t xml:space="preserve"> </w:t>
      </w:r>
    </w:p>
    <w:p w:rsidR="009A7D81" w:rsidRPr="00345437" w:rsidRDefault="00A918E5" w:rsidP="00667DD2">
      <w:pPr>
        <w:ind w:right="47"/>
        <w:jc w:val="both"/>
        <w:rPr>
          <w:rFonts w:ascii="Arial" w:hAnsi="Arial" w:cs="Arial"/>
          <w:sz w:val="22"/>
          <w:szCs w:val="22"/>
        </w:rPr>
      </w:pPr>
      <w:r w:rsidRPr="00345437">
        <w:rPr>
          <w:rFonts w:ascii="Arial" w:hAnsi="Arial" w:cs="Arial"/>
          <w:sz w:val="22"/>
          <w:szCs w:val="22"/>
        </w:rPr>
        <w:t>Half-year reports will be submitted to the Swiss party within two months of the end of each half-year period.</w:t>
      </w:r>
    </w:p>
    <w:p w:rsidR="009A7D81" w:rsidRPr="00345437" w:rsidRDefault="009A7D81" w:rsidP="009A7D81">
      <w:pPr>
        <w:ind w:right="47"/>
        <w:jc w:val="both"/>
        <w:rPr>
          <w:rFonts w:ascii="Arial" w:hAnsi="Arial" w:cs="Arial"/>
          <w:sz w:val="22"/>
          <w:szCs w:val="22"/>
        </w:rPr>
      </w:pPr>
    </w:p>
    <w:p w:rsidR="009A7D81" w:rsidRPr="00345437" w:rsidRDefault="00A918E5" w:rsidP="00667DD2">
      <w:pPr>
        <w:ind w:right="462"/>
        <w:jc w:val="both"/>
        <w:rPr>
          <w:rFonts w:ascii="Arial" w:hAnsi="Arial" w:cs="Arial"/>
          <w:b/>
          <w:sz w:val="22"/>
          <w:szCs w:val="22"/>
        </w:rPr>
      </w:pPr>
      <w:r w:rsidRPr="00345437">
        <w:rPr>
          <w:rFonts w:ascii="Arial" w:hAnsi="Arial" w:cs="Arial"/>
          <w:b/>
          <w:sz w:val="22"/>
          <w:szCs w:val="22"/>
        </w:rPr>
        <w:t>Report’s reference number</w:t>
      </w:r>
      <w:r w:rsidR="009A7D81" w:rsidRPr="00345437">
        <w:rPr>
          <w:rFonts w:ascii="Arial" w:hAnsi="Arial" w:cs="Arial"/>
          <w:b/>
          <w:sz w:val="22"/>
          <w:szCs w:val="22"/>
        </w:rPr>
        <w:t xml:space="preserve"> </w:t>
      </w:r>
    </w:p>
    <w:p w:rsidR="00A944DE" w:rsidRPr="00345437" w:rsidRDefault="00A918E5" w:rsidP="00667DD2">
      <w:pPr>
        <w:tabs>
          <w:tab w:val="left" w:pos="8265"/>
        </w:tabs>
        <w:ind w:right="-10"/>
        <w:jc w:val="both"/>
        <w:rPr>
          <w:rFonts w:ascii="Arial" w:hAnsi="Arial" w:cs="Arial"/>
          <w:sz w:val="22"/>
          <w:szCs w:val="22"/>
        </w:rPr>
      </w:pPr>
      <w:r w:rsidRPr="00345437">
        <w:rPr>
          <w:rFonts w:ascii="Arial" w:hAnsi="Arial" w:cs="Arial"/>
          <w:sz w:val="22"/>
          <w:szCs w:val="22"/>
        </w:rPr>
        <w:t>Each report will be assigned a separate reference number in Point 2.2 of the report.</w:t>
      </w:r>
      <w:r w:rsidR="00323CA3" w:rsidRPr="00345437">
        <w:rPr>
          <w:rFonts w:ascii="Arial" w:hAnsi="Arial" w:cs="Arial"/>
          <w:sz w:val="22"/>
          <w:szCs w:val="22"/>
        </w:rPr>
        <w:t xml:space="preserve"> </w:t>
      </w:r>
      <w:r w:rsidR="008B245D" w:rsidRPr="00345437">
        <w:rPr>
          <w:rFonts w:ascii="Arial" w:hAnsi="Arial" w:cs="Arial"/>
          <w:sz w:val="22"/>
          <w:szCs w:val="22"/>
        </w:rPr>
        <w:t xml:space="preserve">The number will consist of the project number abbreviation (KIK No.), a consecutive number of the detected irregularity and an ascending number index, beginning with number “two” since number “one” is reserved for the report that was drawn up for a new irregularity submission, </w:t>
      </w:r>
      <w:r w:rsidR="00DB3F1C" w:rsidRPr="00345437">
        <w:rPr>
          <w:rFonts w:ascii="Arial" w:hAnsi="Arial" w:cs="Arial"/>
          <w:sz w:val="22"/>
          <w:szCs w:val="22"/>
        </w:rPr>
        <w:t>e.g.</w:t>
      </w:r>
      <w:r w:rsidR="008B245D" w:rsidRPr="00345437">
        <w:rPr>
          <w:rFonts w:ascii="Arial" w:hAnsi="Arial" w:cs="Arial"/>
          <w:sz w:val="22"/>
          <w:szCs w:val="22"/>
        </w:rPr>
        <w:t xml:space="preserve"> KIK 10-1-2 (second report on a first irregularity in KIK 10) KIK 34-2-3 (third report for a second irregularity in KIK 34).</w:t>
      </w:r>
    </w:p>
    <w:p w:rsidR="00323CA3" w:rsidRPr="00345437" w:rsidRDefault="008B245D" w:rsidP="00667DD2">
      <w:pPr>
        <w:tabs>
          <w:tab w:val="left" w:pos="8265"/>
        </w:tabs>
        <w:ind w:right="-10"/>
        <w:jc w:val="both"/>
        <w:rPr>
          <w:rFonts w:ascii="Arial" w:hAnsi="Arial" w:cs="Arial"/>
          <w:sz w:val="22"/>
          <w:szCs w:val="22"/>
        </w:rPr>
      </w:pPr>
      <w:r w:rsidRPr="00345437">
        <w:rPr>
          <w:rFonts w:ascii="Arial" w:hAnsi="Arial" w:cs="Arial"/>
          <w:sz w:val="22"/>
          <w:szCs w:val="22"/>
        </w:rPr>
        <w:t xml:space="preserve">Should an irregularity occur with reference to </w:t>
      </w:r>
      <w:r w:rsidR="00DC64AB" w:rsidRPr="00345437">
        <w:rPr>
          <w:rFonts w:ascii="Arial" w:hAnsi="Arial" w:cs="Arial"/>
          <w:sz w:val="22"/>
          <w:szCs w:val="22"/>
        </w:rPr>
        <w:t>a</w:t>
      </w:r>
      <w:r w:rsidRPr="00345437">
        <w:rPr>
          <w:rFonts w:ascii="Arial" w:hAnsi="Arial" w:cs="Arial"/>
          <w:sz w:val="22"/>
          <w:szCs w:val="22"/>
        </w:rPr>
        <w:t xml:space="preserve"> sub-project that is under implementation under a block </w:t>
      </w:r>
      <w:r w:rsidR="009E6656">
        <w:rPr>
          <w:rFonts w:ascii="Arial" w:hAnsi="Arial" w:cs="Arial"/>
          <w:sz w:val="22"/>
          <w:szCs w:val="22"/>
        </w:rPr>
        <w:t>grant</w:t>
      </w:r>
      <w:r w:rsidRPr="00345437">
        <w:rPr>
          <w:rFonts w:ascii="Arial" w:hAnsi="Arial" w:cs="Arial"/>
          <w:sz w:val="22"/>
          <w:szCs w:val="22"/>
        </w:rPr>
        <w:t>/</w:t>
      </w:r>
      <w:r w:rsidR="009E6656">
        <w:rPr>
          <w:rFonts w:ascii="Arial" w:hAnsi="Arial" w:cs="Arial"/>
          <w:sz w:val="22"/>
          <w:szCs w:val="22"/>
        </w:rPr>
        <w:t>project</w:t>
      </w:r>
      <w:r w:rsidRPr="00345437">
        <w:rPr>
          <w:rFonts w:ascii="Arial" w:hAnsi="Arial" w:cs="Arial"/>
          <w:sz w:val="22"/>
          <w:szCs w:val="22"/>
        </w:rPr>
        <w:t>, the number of the sub-project where the irregularity occurred should be added to the reference number.</w:t>
      </w:r>
    </w:p>
    <w:p w:rsidR="00E30D8B" w:rsidRPr="00345437" w:rsidRDefault="00E30D8B" w:rsidP="009A7D81">
      <w:pPr>
        <w:tabs>
          <w:tab w:val="left" w:pos="8265"/>
        </w:tabs>
        <w:ind w:right="-10"/>
        <w:jc w:val="both"/>
        <w:rPr>
          <w:rFonts w:ascii="Arial" w:hAnsi="Arial" w:cs="Arial"/>
          <w:sz w:val="22"/>
          <w:szCs w:val="22"/>
        </w:rPr>
      </w:pPr>
    </w:p>
    <w:p w:rsidR="00323CA3" w:rsidRPr="00345437" w:rsidRDefault="008B245D" w:rsidP="00667DD2">
      <w:pPr>
        <w:ind w:right="462"/>
        <w:jc w:val="both"/>
        <w:rPr>
          <w:rFonts w:ascii="Arial" w:hAnsi="Arial" w:cs="Arial"/>
          <w:b/>
          <w:sz w:val="22"/>
          <w:szCs w:val="22"/>
        </w:rPr>
      </w:pPr>
      <w:r w:rsidRPr="00345437">
        <w:rPr>
          <w:rFonts w:ascii="Arial" w:hAnsi="Arial" w:cs="Arial"/>
          <w:b/>
          <w:sz w:val="22"/>
          <w:szCs w:val="22"/>
        </w:rPr>
        <w:t>Currency</w:t>
      </w:r>
      <w:r w:rsidR="00323CA3" w:rsidRPr="00345437">
        <w:rPr>
          <w:rFonts w:ascii="Arial" w:hAnsi="Arial" w:cs="Arial"/>
          <w:b/>
          <w:sz w:val="22"/>
          <w:szCs w:val="22"/>
        </w:rPr>
        <w:t xml:space="preserve"> </w:t>
      </w:r>
    </w:p>
    <w:p w:rsidR="006536A2" w:rsidRPr="007A0361" w:rsidRDefault="008B245D" w:rsidP="006536A2">
      <w:pPr>
        <w:autoSpaceDE w:val="0"/>
        <w:autoSpaceDN w:val="0"/>
        <w:adjustRightInd w:val="0"/>
        <w:ind w:right="-87"/>
        <w:jc w:val="both"/>
        <w:rPr>
          <w:rFonts w:ascii="Arial" w:hAnsi="Arial" w:cs="Arial"/>
          <w:sz w:val="22"/>
          <w:szCs w:val="22"/>
        </w:rPr>
      </w:pPr>
      <w:r w:rsidRPr="00345437">
        <w:rPr>
          <w:rFonts w:ascii="Arial" w:hAnsi="Arial" w:cs="Arial"/>
          <w:sz w:val="22"/>
          <w:szCs w:val="22"/>
        </w:rPr>
        <w:t xml:space="preserve">The amount referred to in Point 3.4 will be </w:t>
      </w:r>
      <w:r w:rsidR="00DC64AB" w:rsidRPr="00345437">
        <w:rPr>
          <w:rFonts w:ascii="Arial" w:hAnsi="Arial" w:cs="Arial"/>
          <w:sz w:val="22"/>
          <w:szCs w:val="22"/>
        </w:rPr>
        <w:t>quoted</w:t>
      </w:r>
      <w:r w:rsidRPr="00345437">
        <w:rPr>
          <w:rFonts w:ascii="Arial" w:hAnsi="Arial" w:cs="Arial"/>
          <w:sz w:val="22"/>
          <w:szCs w:val="22"/>
        </w:rPr>
        <w:t xml:space="preserve"> in CHF.</w:t>
      </w:r>
      <w:r w:rsidR="008333E5" w:rsidRPr="00345437">
        <w:rPr>
          <w:rFonts w:ascii="Arial" w:hAnsi="Arial" w:cs="Arial"/>
          <w:sz w:val="22"/>
          <w:szCs w:val="22"/>
        </w:rPr>
        <w:t xml:space="preserve"> </w:t>
      </w:r>
      <w:r w:rsidRPr="00345437">
        <w:rPr>
          <w:rFonts w:ascii="Arial" w:hAnsi="Arial" w:cs="Arial"/>
          <w:sz w:val="22"/>
          <w:szCs w:val="22"/>
        </w:rPr>
        <w:t xml:space="preserve">In addition, the suspected/irregularity amount should be quoted in field </w:t>
      </w:r>
      <w:smartTag w:uri="urn:schemas-microsoft-com:office:smarttags" w:element="metricconverter">
        <w:smartTagPr>
          <w:attr w:name="ProductID" w:val="5.1 in"/>
        </w:smartTagPr>
        <w:r w:rsidR="007F2016">
          <w:rPr>
            <w:rFonts w:ascii="Arial" w:hAnsi="Arial" w:cs="Arial"/>
            <w:sz w:val="22"/>
            <w:szCs w:val="22"/>
          </w:rPr>
          <w:t>5</w:t>
        </w:r>
        <w:r w:rsidRPr="00345437">
          <w:rPr>
            <w:rFonts w:ascii="Arial" w:hAnsi="Arial" w:cs="Arial"/>
            <w:sz w:val="22"/>
            <w:szCs w:val="22"/>
          </w:rPr>
          <w:t>.1 in</w:t>
        </w:r>
      </w:smartTag>
      <w:r w:rsidRPr="00345437">
        <w:rPr>
          <w:rFonts w:ascii="Arial" w:hAnsi="Arial" w:cs="Arial"/>
          <w:sz w:val="22"/>
          <w:szCs w:val="22"/>
        </w:rPr>
        <w:t xml:space="preserve"> PLN and CHF, where the exchange rate should be taken from</w:t>
      </w:r>
      <w:r w:rsidR="001048E6" w:rsidRPr="00345437">
        <w:rPr>
          <w:rFonts w:ascii="Arial" w:hAnsi="Arial" w:cs="Arial"/>
          <w:sz w:val="22"/>
          <w:szCs w:val="22"/>
        </w:rPr>
        <w:t xml:space="preserve"> </w:t>
      </w:r>
      <w:r w:rsidR="00261A22" w:rsidRPr="00345437">
        <w:rPr>
          <w:rFonts w:ascii="Arial" w:hAnsi="Arial" w:cs="Arial"/>
          <w:sz w:val="22"/>
          <w:szCs w:val="22"/>
        </w:rPr>
        <w:t xml:space="preserve">co-financing awarding </w:t>
      </w:r>
      <w:r w:rsidRPr="00345437">
        <w:rPr>
          <w:rFonts w:ascii="Arial" w:hAnsi="Arial" w:cs="Arial"/>
          <w:sz w:val="22"/>
          <w:szCs w:val="22"/>
        </w:rPr>
        <w:t>decision.</w:t>
      </w:r>
      <w:r w:rsidR="008333E5" w:rsidRPr="00345437">
        <w:rPr>
          <w:rFonts w:ascii="Arial" w:hAnsi="Arial" w:cs="Arial"/>
          <w:sz w:val="22"/>
          <w:szCs w:val="22"/>
        </w:rPr>
        <w:t xml:space="preserve"> </w:t>
      </w:r>
      <w:r w:rsidR="006536A2" w:rsidRPr="006536A2">
        <w:rPr>
          <w:rFonts w:ascii="Arial" w:hAnsi="Arial" w:cs="Arial"/>
          <w:sz w:val="22"/>
          <w:szCs w:val="22"/>
        </w:rPr>
        <w:t>In other cases (for example if the exchange rate was not determined in the decision) for conversion of amount from PLN into CHF the current exchange rate of National Polish Bank for the day of preparing the irregularity report should be used.</w:t>
      </w:r>
      <w:r w:rsidR="006536A2" w:rsidRPr="007A0361">
        <w:rPr>
          <w:rFonts w:ascii="Arial" w:hAnsi="Arial" w:cs="Arial"/>
          <w:sz w:val="22"/>
          <w:szCs w:val="22"/>
        </w:rPr>
        <w:t xml:space="preserve">  </w:t>
      </w:r>
    </w:p>
    <w:p w:rsidR="008333E5" w:rsidRPr="00345437" w:rsidRDefault="008333E5" w:rsidP="00667DD2">
      <w:pPr>
        <w:autoSpaceDE w:val="0"/>
        <w:autoSpaceDN w:val="0"/>
        <w:adjustRightInd w:val="0"/>
        <w:ind w:right="-87"/>
        <w:jc w:val="both"/>
        <w:rPr>
          <w:rFonts w:ascii="Arial" w:hAnsi="Arial" w:cs="Arial"/>
          <w:sz w:val="22"/>
          <w:szCs w:val="22"/>
        </w:rPr>
      </w:pPr>
    </w:p>
    <w:p w:rsidR="009A7D81" w:rsidRPr="00345437" w:rsidRDefault="009A7D81" w:rsidP="009A7D81">
      <w:pPr>
        <w:ind w:right="462"/>
        <w:jc w:val="both"/>
        <w:rPr>
          <w:rFonts w:ascii="Arial" w:hAnsi="Arial" w:cs="Arial"/>
          <w:sz w:val="22"/>
          <w:szCs w:val="22"/>
        </w:rPr>
      </w:pPr>
    </w:p>
    <w:p w:rsidR="009A7D81" w:rsidRPr="00345437" w:rsidRDefault="009A7D81" w:rsidP="00323CA3">
      <w:pPr>
        <w:autoSpaceDE w:val="0"/>
        <w:autoSpaceDN w:val="0"/>
        <w:adjustRightInd w:val="0"/>
        <w:ind w:right="-87"/>
        <w:jc w:val="both"/>
        <w:rPr>
          <w:rFonts w:ascii="Arial" w:hAnsi="Arial" w:cs="Arial"/>
          <w:sz w:val="22"/>
          <w:szCs w:val="22"/>
        </w:rPr>
      </w:pPr>
    </w:p>
    <w:p w:rsidR="009A7D81" w:rsidRPr="00345437" w:rsidRDefault="009A7D81" w:rsidP="009A7D81">
      <w:pPr>
        <w:ind w:right="462"/>
        <w:jc w:val="both"/>
        <w:rPr>
          <w:sz w:val="22"/>
          <w:szCs w:val="22"/>
        </w:rPr>
      </w:pPr>
    </w:p>
    <w:p w:rsidR="009A7D81" w:rsidRPr="00345437" w:rsidRDefault="009A7D81" w:rsidP="009A7D81">
      <w:pPr>
        <w:ind w:right="462"/>
        <w:jc w:val="both"/>
      </w:pPr>
    </w:p>
    <w:p w:rsidR="009A7D81" w:rsidRPr="00345437" w:rsidRDefault="009A7D81" w:rsidP="009A7D81">
      <w:pPr>
        <w:ind w:right="462"/>
        <w:jc w:val="both"/>
      </w:pPr>
    </w:p>
    <w:p w:rsidR="009A7D81" w:rsidRPr="00345437" w:rsidRDefault="009A7D81" w:rsidP="00435166"/>
    <w:sectPr w:rsidR="009A7D81" w:rsidRPr="00345437" w:rsidSect="001C5BF6">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52A20"/>
    <w:multiLevelType w:val="multilevel"/>
    <w:tmpl w:val="8154F33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09"/>
        </w:tabs>
        <w:ind w:left="309" w:hanging="360"/>
      </w:pPr>
      <w:rPr>
        <w:rFonts w:hint="default"/>
      </w:rPr>
    </w:lvl>
    <w:lvl w:ilvl="2">
      <w:start w:val="1"/>
      <w:numFmt w:val="decimal"/>
      <w:lvlText w:val="%1.%2.%3"/>
      <w:lvlJc w:val="left"/>
      <w:pPr>
        <w:tabs>
          <w:tab w:val="num" w:pos="618"/>
        </w:tabs>
        <w:ind w:left="618" w:hanging="720"/>
      </w:pPr>
      <w:rPr>
        <w:rFonts w:hint="default"/>
      </w:rPr>
    </w:lvl>
    <w:lvl w:ilvl="3">
      <w:start w:val="1"/>
      <w:numFmt w:val="decimal"/>
      <w:lvlText w:val="%1.%2.%3.%4"/>
      <w:lvlJc w:val="left"/>
      <w:pPr>
        <w:tabs>
          <w:tab w:val="num" w:pos="567"/>
        </w:tabs>
        <w:ind w:left="567" w:hanging="720"/>
      </w:pPr>
      <w:rPr>
        <w:rFonts w:hint="default"/>
      </w:rPr>
    </w:lvl>
    <w:lvl w:ilvl="4">
      <w:start w:val="1"/>
      <w:numFmt w:val="decimal"/>
      <w:lvlText w:val="%1.%2.%3.%4.%5"/>
      <w:lvlJc w:val="left"/>
      <w:pPr>
        <w:tabs>
          <w:tab w:val="num" w:pos="876"/>
        </w:tabs>
        <w:ind w:left="876" w:hanging="1080"/>
      </w:pPr>
      <w:rPr>
        <w:rFonts w:hint="default"/>
      </w:rPr>
    </w:lvl>
    <w:lvl w:ilvl="5">
      <w:start w:val="1"/>
      <w:numFmt w:val="decimal"/>
      <w:lvlText w:val="%1.%2.%3.%4.%5.%6"/>
      <w:lvlJc w:val="left"/>
      <w:pPr>
        <w:tabs>
          <w:tab w:val="num" w:pos="825"/>
        </w:tabs>
        <w:ind w:left="825" w:hanging="1080"/>
      </w:pPr>
      <w:rPr>
        <w:rFonts w:hint="default"/>
      </w:rPr>
    </w:lvl>
    <w:lvl w:ilvl="6">
      <w:start w:val="1"/>
      <w:numFmt w:val="decimal"/>
      <w:lvlText w:val="%1.%2.%3.%4.%5.%6.%7"/>
      <w:lvlJc w:val="left"/>
      <w:pPr>
        <w:tabs>
          <w:tab w:val="num" w:pos="1134"/>
        </w:tabs>
        <w:ind w:left="1134" w:hanging="1440"/>
      </w:pPr>
      <w:rPr>
        <w:rFonts w:hint="default"/>
      </w:rPr>
    </w:lvl>
    <w:lvl w:ilvl="7">
      <w:start w:val="1"/>
      <w:numFmt w:val="decimal"/>
      <w:lvlText w:val="%1.%2.%3.%4.%5.%6.%7.%8"/>
      <w:lvlJc w:val="left"/>
      <w:pPr>
        <w:tabs>
          <w:tab w:val="num" w:pos="1083"/>
        </w:tabs>
        <w:ind w:left="1083" w:hanging="1440"/>
      </w:pPr>
      <w:rPr>
        <w:rFonts w:hint="default"/>
      </w:rPr>
    </w:lvl>
    <w:lvl w:ilvl="8">
      <w:start w:val="1"/>
      <w:numFmt w:val="decimal"/>
      <w:lvlText w:val="%1.%2.%3.%4.%5.%6.%7.%8.%9"/>
      <w:lvlJc w:val="left"/>
      <w:pPr>
        <w:tabs>
          <w:tab w:val="num" w:pos="1392"/>
        </w:tabs>
        <w:ind w:left="1392" w:hanging="1800"/>
      </w:pPr>
      <w:rPr>
        <w:rFonts w:hint="default"/>
      </w:rPr>
    </w:lvl>
  </w:abstractNum>
  <w:abstractNum w:abstractNumId="1" w15:restartNumberingAfterBreak="0">
    <w:nsid w:val="519B7783"/>
    <w:multiLevelType w:val="multilevel"/>
    <w:tmpl w:val="8154F33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09"/>
        </w:tabs>
        <w:ind w:left="309" w:hanging="360"/>
      </w:pPr>
      <w:rPr>
        <w:rFonts w:hint="default"/>
      </w:rPr>
    </w:lvl>
    <w:lvl w:ilvl="2">
      <w:start w:val="1"/>
      <w:numFmt w:val="decimal"/>
      <w:lvlText w:val="%1.%2.%3"/>
      <w:lvlJc w:val="left"/>
      <w:pPr>
        <w:tabs>
          <w:tab w:val="num" w:pos="618"/>
        </w:tabs>
        <w:ind w:left="618" w:hanging="720"/>
      </w:pPr>
      <w:rPr>
        <w:rFonts w:hint="default"/>
      </w:rPr>
    </w:lvl>
    <w:lvl w:ilvl="3">
      <w:start w:val="1"/>
      <w:numFmt w:val="decimal"/>
      <w:lvlText w:val="%1.%2.%3.%4"/>
      <w:lvlJc w:val="left"/>
      <w:pPr>
        <w:tabs>
          <w:tab w:val="num" w:pos="567"/>
        </w:tabs>
        <w:ind w:left="567" w:hanging="720"/>
      </w:pPr>
      <w:rPr>
        <w:rFonts w:hint="default"/>
      </w:rPr>
    </w:lvl>
    <w:lvl w:ilvl="4">
      <w:start w:val="1"/>
      <w:numFmt w:val="decimal"/>
      <w:lvlText w:val="%1.%2.%3.%4.%5"/>
      <w:lvlJc w:val="left"/>
      <w:pPr>
        <w:tabs>
          <w:tab w:val="num" w:pos="876"/>
        </w:tabs>
        <w:ind w:left="876" w:hanging="1080"/>
      </w:pPr>
      <w:rPr>
        <w:rFonts w:hint="default"/>
      </w:rPr>
    </w:lvl>
    <w:lvl w:ilvl="5">
      <w:start w:val="1"/>
      <w:numFmt w:val="decimal"/>
      <w:lvlText w:val="%1.%2.%3.%4.%5.%6"/>
      <w:lvlJc w:val="left"/>
      <w:pPr>
        <w:tabs>
          <w:tab w:val="num" w:pos="825"/>
        </w:tabs>
        <w:ind w:left="825" w:hanging="1080"/>
      </w:pPr>
      <w:rPr>
        <w:rFonts w:hint="default"/>
      </w:rPr>
    </w:lvl>
    <w:lvl w:ilvl="6">
      <w:start w:val="1"/>
      <w:numFmt w:val="decimal"/>
      <w:lvlText w:val="%1.%2.%3.%4.%5.%6.%7"/>
      <w:lvlJc w:val="left"/>
      <w:pPr>
        <w:tabs>
          <w:tab w:val="num" w:pos="1134"/>
        </w:tabs>
        <w:ind w:left="1134" w:hanging="1440"/>
      </w:pPr>
      <w:rPr>
        <w:rFonts w:hint="default"/>
      </w:rPr>
    </w:lvl>
    <w:lvl w:ilvl="7">
      <w:start w:val="1"/>
      <w:numFmt w:val="decimal"/>
      <w:lvlText w:val="%1.%2.%3.%4.%5.%6.%7.%8"/>
      <w:lvlJc w:val="left"/>
      <w:pPr>
        <w:tabs>
          <w:tab w:val="num" w:pos="1083"/>
        </w:tabs>
        <w:ind w:left="1083" w:hanging="1440"/>
      </w:pPr>
      <w:rPr>
        <w:rFonts w:hint="default"/>
      </w:rPr>
    </w:lvl>
    <w:lvl w:ilvl="8">
      <w:start w:val="1"/>
      <w:numFmt w:val="decimal"/>
      <w:lvlText w:val="%1.%2.%3.%4.%5.%6.%7.%8.%9"/>
      <w:lvlJc w:val="left"/>
      <w:pPr>
        <w:tabs>
          <w:tab w:val="num" w:pos="1392"/>
        </w:tabs>
        <w:ind w:left="1392" w:hanging="1800"/>
      </w:pPr>
      <w:rPr>
        <w:rFonts w:hint="default"/>
      </w:rPr>
    </w:lvl>
  </w:abstractNum>
  <w:abstractNum w:abstractNumId="2" w15:restartNumberingAfterBreak="0">
    <w:nsid w:val="5725738C"/>
    <w:multiLevelType w:val="multilevel"/>
    <w:tmpl w:val="1FF8CC4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09"/>
        </w:tabs>
        <w:ind w:left="309" w:hanging="360"/>
      </w:pPr>
      <w:rPr>
        <w:rFonts w:hint="default"/>
      </w:rPr>
    </w:lvl>
    <w:lvl w:ilvl="2">
      <w:start w:val="1"/>
      <w:numFmt w:val="decimal"/>
      <w:lvlText w:val="%1.%2.%3"/>
      <w:lvlJc w:val="left"/>
      <w:pPr>
        <w:tabs>
          <w:tab w:val="num" w:pos="618"/>
        </w:tabs>
        <w:ind w:left="618" w:hanging="720"/>
      </w:pPr>
      <w:rPr>
        <w:rFonts w:hint="default"/>
      </w:rPr>
    </w:lvl>
    <w:lvl w:ilvl="3">
      <w:start w:val="1"/>
      <w:numFmt w:val="decimal"/>
      <w:lvlText w:val="%1.%2.%3.%4"/>
      <w:lvlJc w:val="left"/>
      <w:pPr>
        <w:tabs>
          <w:tab w:val="num" w:pos="567"/>
        </w:tabs>
        <w:ind w:left="567" w:hanging="720"/>
      </w:pPr>
      <w:rPr>
        <w:rFonts w:hint="default"/>
      </w:rPr>
    </w:lvl>
    <w:lvl w:ilvl="4">
      <w:start w:val="1"/>
      <w:numFmt w:val="decimal"/>
      <w:lvlText w:val="%1.%2.%3.%4.%5"/>
      <w:lvlJc w:val="left"/>
      <w:pPr>
        <w:tabs>
          <w:tab w:val="num" w:pos="876"/>
        </w:tabs>
        <w:ind w:left="876" w:hanging="1080"/>
      </w:pPr>
      <w:rPr>
        <w:rFonts w:hint="default"/>
      </w:rPr>
    </w:lvl>
    <w:lvl w:ilvl="5">
      <w:start w:val="1"/>
      <w:numFmt w:val="decimal"/>
      <w:lvlText w:val="%1.%2.%3.%4.%5.%6"/>
      <w:lvlJc w:val="left"/>
      <w:pPr>
        <w:tabs>
          <w:tab w:val="num" w:pos="825"/>
        </w:tabs>
        <w:ind w:left="825" w:hanging="1080"/>
      </w:pPr>
      <w:rPr>
        <w:rFonts w:hint="default"/>
      </w:rPr>
    </w:lvl>
    <w:lvl w:ilvl="6">
      <w:start w:val="1"/>
      <w:numFmt w:val="decimal"/>
      <w:lvlText w:val="%1.%2.%3.%4.%5.%6.%7"/>
      <w:lvlJc w:val="left"/>
      <w:pPr>
        <w:tabs>
          <w:tab w:val="num" w:pos="1134"/>
        </w:tabs>
        <w:ind w:left="1134" w:hanging="1440"/>
      </w:pPr>
      <w:rPr>
        <w:rFonts w:hint="default"/>
      </w:rPr>
    </w:lvl>
    <w:lvl w:ilvl="7">
      <w:start w:val="1"/>
      <w:numFmt w:val="decimal"/>
      <w:lvlText w:val="%1.%2.%3.%4.%5.%6.%7.%8"/>
      <w:lvlJc w:val="left"/>
      <w:pPr>
        <w:tabs>
          <w:tab w:val="num" w:pos="1083"/>
        </w:tabs>
        <w:ind w:left="1083" w:hanging="1440"/>
      </w:pPr>
      <w:rPr>
        <w:rFonts w:hint="default"/>
      </w:rPr>
    </w:lvl>
    <w:lvl w:ilvl="8">
      <w:start w:val="1"/>
      <w:numFmt w:val="decimal"/>
      <w:lvlText w:val="%1.%2.%3.%4.%5.%6.%7.%8.%9"/>
      <w:lvlJc w:val="left"/>
      <w:pPr>
        <w:tabs>
          <w:tab w:val="num" w:pos="1392"/>
        </w:tabs>
        <w:ind w:left="1392"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compat>
    <w:compatSetting w:name="compatibilityMode" w:uri="http://schemas.microsoft.com/office/word" w:val="12"/>
  </w:compat>
  <w:docVars>
    <w:docVar w:name="WfColors" w:val="1"/>
  </w:docVars>
  <w:rsids>
    <w:rsidRoot w:val="001C5BF6"/>
    <w:rsid w:val="0000014F"/>
    <w:rsid w:val="00004783"/>
    <w:rsid w:val="00043CC8"/>
    <w:rsid w:val="000525C4"/>
    <w:rsid w:val="000570A1"/>
    <w:rsid w:val="000661E6"/>
    <w:rsid w:val="000777C3"/>
    <w:rsid w:val="000807E1"/>
    <w:rsid w:val="0008395D"/>
    <w:rsid w:val="000853DD"/>
    <w:rsid w:val="000904AC"/>
    <w:rsid w:val="000A02B7"/>
    <w:rsid w:val="000A4147"/>
    <w:rsid w:val="000B1C5B"/>
    <w:rsid w:val="000B56CD"/>
    <w:rsid w:val="000B7572"/>
    <w:rsid w:val="000D052B"/>
    <w:rsid w:val="000D1BB1"/>
    <w:rsid w:val="000D750B"/>
    <w:rsid w:val="001048E6"/>
    <w:rsid w:val="001055A8"/>
    <w:rsid w:val="0010568E"/>
    <w:rsid w:val="00106862"/>
    <w:rsid w:val="001135CE"/>
    <w:rsid w:val="001320D1"/>
    <w:rsid w:val="001624F5"/>
    <w:rsid w:val="001663BA"/>
    <w:rsid w:val="001737ED"/>
    <w:rsid w:val="00174F2F"/>
    <w:rsid w:val="00185E9B"/>
    <w:rsid w:val="001869B4"/>
    <w:rsid w:val="0019110A"/>
    <w:rsid w:val="001A13A9"/>
    <w:rsid w:val="001A1C50"/>
    <w:rsid w:val="001A7632"/>
    <w:rsid w:val="001B1DC1"/>
    <w:rsid w:val="001C5BF6"/>
    <w:rsid w:val="001C6040"/>
    <w:rsid w:val="001C784A"/>
    <w:rsid w:val="001D555D"/>
    <w:rsid w:val="001E1011"/>
    <w:rsid w:val="001E30B2"/>
    <w:rsid w:val="001F09F2"/>
    <w:rsid w:val="001F2C36"/>
    <w:rsid w:val="001F5FBB"/>
    <w:rsid w:val="001F7758"/>
    <w:rsid w:val="002022B8"/>
    <w:rsid w:val="00202D7F"/>
    <w:rsid w:val="00213541"/>
    <w:rsid w:val="002277FE"/>
    <w:rsid w:val="002305AF"/>
    <w:rsid w:val="00236FDA"/>
    <w:rsid w:val="002424F1"/>
    <w:rsid w:val="0024528D"/>
    <w:rsid w:val="00245E55"/>
    <w:rsid w:val="00254B7B"/>
    <w:rsid w:val="002552C0"/>
    <w:rsid w:val="00261503"/>
    <w:rsid w:val="00261A22"/>
    <w:rsid w:val="002775AC"/>
    <w:rsid w:val="002960B5"/>
    <w:rsid w:val="002A1F56"/>
    <w:rsid w:val="002A2759"/>
    <w:rsid w:val="002B7BF7"/>
    <w:rsid w:val="002C2989"/>
    <w:rsid w:val="002C3B70"/>
    <w:rsid w:val="002C7ADC"/>
    <w:rsid w:val="002D60A1"/>
    <w:rsid w:val="002F0B9C"/>
    <w:rsid w:val="002F3C25"/>
    <w:rsid w:val="0030782C"/>
    <w:rsid w:val="00313E8D"/>
    <w:rsid w:val="00323CA3"/>
    <w:rsid w:val="003327AB"/>
    <w:rsid w:val="0033666B"/>
    <w:rsid w:val="00345437"/>
    <w:rsid w:val="00350819"/>
    <w:rsid w:val="00366560"/>
    <w:rsid w:val="00370D41"/>
    <w:rsid w:val="003842E5"/>
    <w:rsid w:val="003A07E4"/>
    <w:rsid w:val="003B5E84"/>
    <w:rsid w:val="003D2E1B"/>
    <w:rsid w:val="003E03FA"/>
    <w:rsid w:val="003E0846"/>
    <w:rsid w:val="003E6160"/>
    <w:rsid w:val="003F6A7A"/>
    <w:rsid w:val="00402A84"/>
    <w:rsid w:val="00406E88"/>
    <w:rsid w:val="0041343C"/>
    <w:rsid w:val="00435166"/>
    <w:rsid w:val="004431C9"/>
    <w:rsid w:val="004509A2"/>
    <w:rsid w:val="00467926"/>
    <w:rsid w:val="00473B39"/>
    <w:rsid w:val="004821AE"/>
    <w:rsid w:val="004858FB"/>
    <w:rsid w:val="00490B06"/>
    <w:rsid w:val="0049392F"/>
    <w:rsid w:val="004A47B2"/>
    <w:rsid w:val="004B3EAA"/>
    <w:rsid w:val="004B4E6E"/>
    <w:rsid w:val="004B6F3C"/>
    <w:rsid w:val="004C0757"/>
    <w:rsid w:val="004C257C"/>
    <w:rsid w:val="004C5E7D"/>
    <w:rsid w:val="004E06AE"/>
    <w:rsid w:val="00510FCB"/>
    <w:rsid w:val="00523BC8"/>
    <w:rsid w:val="00524202"/>
    <w:rsid w:val="0054451D"/>
    <w:rsid w:val="00551C3E"/>
    <w:rsid w:val="0055668A"/>
    <w:rsid w:val="00557362"/>
    <w:rsid w:val="005639AF"/>
    <w:rsid w:val="00566931"/>
    <w:rsid w:val="00570B41"/>
    <w:rsid w:val="00571303"/>
    <w:rsid w:val="005729DD"/>
    <w:rsid w:val="0058165F"/>
    <w:rsid w:val="005831A4"/>
    <w:rsid w:val="00585601"/>
    <w:rsid w:val="005914C2"/>
    <w:rsid w:val="00594DCE"/>
    <w:rsid w:val="00597D5C"/>
    <w:rsid w:val="005A3C9B"/>
    <w:rsid w:val="005B36C2"/>
    <w:rsid w:val="005C0D28"/>
    <w:rsid w:val="005D2D21"/>
    <w:rsid w:val="005D332A"/>
    <w:rsid w:val="005E66AC"/>
    <w:rsid w:val="005F4585"/>
    <w:rsid w:val="006048E1"/>
    <w:rsid w:val="00605415"/>
    <w:rsid w:val="00606BC5"/>
    <w:rsid w:val="006208CA"/>
    <w:rsid w:val="00644C72"/>
    <w:rsid w:val="00652FBA"/>
    <w:rsid w:val="006536A2"/>
    <w:rsid w:val="00655EF6"/>
    <w:rsid w:val="006567BC"/>
    <w:rsid w:val="006576A7"/>
    <w:rsid w:val="0066405A"/>
    <w:rsid w:val="006657B6"/>
    <w:rsid w:val="00667DD2"/>
    <w:rsid w:val="006718C8"/>
    <w:rsid w:val="00676929"/>
    <w:rsid w:val="00692A65"/>
    <w:rsid w:val="006A4163"/>
    <w:rsid w:val="006A5586"/>
    <w:rsid w:val="006B39F2"/>
    <w:rsid w:val="006C575E"/>
    <w:rsid w:val="006C6A04"/>
    <w:rsid w:val="006C7877"/>
    <w:rsid w:val="006C79C8"/>
    <w:rsid w:val="006D54B1"/>
    <w:rsid w:val="006D742A"/>
    <w:rsid w:val="00703EA1"/>
    <w:rsid w:val="007143A5"/>
    <w:rsid w:val="007240BE"/>
    <w:rsid w:val="00727094"/>
    <w:rsid w:val="007370F2"/>
    <w:rsid w:val="007510C2"/>
    <w:rsid w:val="007603F3"/>
    <w:rsid w:val="0076280C"/>
    <w:rsid w:val="00762974"/>
    <w:rsid w:val="00771A04"/>
    <w:rsid w:val="007722D6"/>
    <w:rsid w:val="00783EA8"/>
    <w:rsid w:val="00795DE7"/>
    <w:rsid w:val="007A6071"/>
    <w:rsid w:val="007B50A1"/>
    <w:rsid w:val="007B6C68"/>
    <w:rsid w:val="007D0C0B"/>
    <w:rsid w:val="007D3AE9"/>
    <w:rsid w:val="007D7E06"/>
    <w:rsid w:val="007F01CE"/>
    <w:rsid w:val="007F11F9"/>
    <w:rsid w:val="007F2016"/>
    <w:rsid w:val="00802AD0"/>
    <w:rsid w:val="00805FAC"/>
    <w:rsid w:val="0080676D"/>
    <w:rsid w:val="00811AD9"/>
    <w:rsid w:val="00822D36"/>
    <w:rsid w:val="008333E5"/>
    <w:rsid w:val="008477FC"/>
    <w:rsid w:val="00857522"/>
    <w:rsid w:val="008645A3"/>
    <w:rsid w:val="00864F1C"/>
    <w:rsid w:val="00866BB0"/>
    <w:rsid w:val="008705E2"/>
    <w:rsid w:val="008776CC"/>
    <w:rsid w:val="00885FCE"/>
    <w:rsid w:val="00895853"/>
    <w:rsid w:val="008A01DF"/>
    <w:rsid w:val="008A17DC"/>
    <w:rsid w:val="008A6C52"/>
    <w:rsid w:val="008B245D"/>
    <w:rsid w:val="008B6D45"/>
    <w:rsid w:val="008C4226"/>
    <w:rsid w:val="008C6692"/>
    <w:rsid w:val="008E39BC"/>
    <w:rsid w:val="008E7CD6"/>
    <w:rsid w:val="008F0A9D"/>
    <w:rsid w:val="008F2AE0"/>
    <w:rsid w:val="009013B9"/>
    <w:rsid w:val="00907734"/>
    <w:rsid w:val="009136FA"/>
    <w:rsid w:val="009207FC"/>
    <w:rsid w:val="00920ACF"/>
    <w:rsid w:val="00925754"/>
    <w:rsid w:val="00934BEB"/>
    <w:rsid w:val="00936073"/>
    <w:rsid w:val="00940E06"/>
    <w:rsid w:val="009457D0"/>
    <w:rsid w:val="0094732C"/>
    <w:rsid w:val="009523FD"/>
    <w:rsid w:val="00981867"/>
    <w:rsid w:val="00994A11"/>
    <w:rsid w:val="00995E86"/>
    <w:rsid w:val="009A0926"/>
    <w:rsid w:val="009A7D81"/>
    <w:rsid w:val="009B537B"/>
    <w:rsid w:val="009B53E5"/>
    <w:rsid w:val="009C1608"/>
    <w:rsid w:val="009D096A"/>
    <w:rsid w:val="009E6656"/>
    <w:rsid w:val="009F6035"/>
    <w:rsid w:val="009F795C"/>
    <w:rsid w:val="00A246B9"/>
    <w:rsid w:val="00A35AE8"/>
    <w:rsid w:val="00A35CD0"/>
    <w:rsid w:val="00A46560"/>
    <w:rsid w:val="00A5659E"/>
    <w:rsid w:val="00A578AB"/>
    <w:rsid w:val="00A57BC4"/>
    <w:rsid w:val="00A65502"/>
    <w:rsid w:val="00A65548"/>
    <w:rsid w:val="00A66766"/>
    <w:rsid w:val="00A717F7"/>
    <w:rsid w:val="00A813CE"/>
    <w:rsid w:val="00A82750"/>
    <w:rsid w:val="00A85755"/>
    <w:rsid w:val="00A918E5"/>
    <w:rsid w:val="00A92A63"/>
    <w:rsid w:val="00A944DE"/>
    <w:rsid w:val="00A97DB7"/>
    <w:rsid w:val="00AA75E7"/>
    <w:rsid w:val="00AA76C2"/>
    <w:rsid w:val="00AB0838"/>
    <w:rsid w:val="00AC1259"/>
    <w:rsid w:val="00AC4DF7"/>
    <w:rsid w:val="00AE152C"/>
    <w:rsid w:val="00AE353F"/>
    <w:rsid w:val="00B11ACF"/>
    <w:rsid w:val="00B17529"/>
    <w:rsid w:val="00B22589"/>
    <w:rsid w:val="00B22C7D"/>
    <w:rsid w:val="00B3131D"/>
    <w:rsid w:val="00B37745"/>
    <w:rsid w:val="00B57B64"/>
    <w:rsid w:val="00B6542C"/>
    <w:rsid w:val="00B7050B"/>
    <w:rsid w:val="00B95499"/>
    <w:rsid w:val="00BD782B"/>
    <w:rsid w:val="00BE3FD9"/>
    <w:rsid w:val="00BF2AA3"/>
    <w:rsid w:val="00C13678"/>
    <w:rsid w:val="00C32161"/>
    <w:rsid w:val="00C3301C"/>
    <w:rsid w:val="00C34FD9"/>
    <w:rsid w:val="00C36604"/>
    <w:rsid w:val="00C446E3"/>
    <w:rsid w:val="00C50EC8"/>
    <w:rsid w:val="00C606BA"/>
    <w:rsid w:val="00C6461F"/>
    <w:rsid w:val="00C67886"/>
    <w:rsid w:val="00C74495"/>
    <w:rsid w:val="00C80036"/>
    <w:rsid w:val="00C82114"/>
    <w:rsid w:val="00C839B4"/>
    <w:rsid w:val="00C9392E"/>
    <w:rsid w:val="00CA0FD4"/>
    <w:rsid w:val="00CA3E29"/>
    <w:rsid w:val="00CC5176"/>
    <w:rsid w:val="00CD6650"/>
    <w:rsid w:val="00D016A1"/>
    <w:rsid w:val="00D11F06"/>
    <w:rsid w:val="00D236A1"/>
    <w:rsid w:val="00D24A1C"/>
    <w:rsid w:val="00D34844"/>
    <w:rsid w:val="00D42385"/>
    <w:rsid w:val="00D44FBB"/>
    <w:rsid w:val="00D50936"/>
    <w:rsid w:val="00D73E6B"/>
    <w:rsid w:val="00D76791"/>
    <w:rsid w:val="00D8385F"/>
    <w:rsid w:val="00D9290B"/>
    <w:rsid w:val="00D929D6"/>
    <w:rsid w:val="00DB3F1C"/>
    <w:rsid w:val="00DC18D2"/>
    <w:rsid w:val="00DC35A1"/>
    <w:rsid w:val="00DC64AB"/>
    <w:rsid w:val="00DE2A70"/>
    <w:rsid w:val="00DE5F2A"/>
    <w:rsid w:val="00DE6092"/>
    <w:rsid w:val="00DF1696"/>
    <w:rsid w:val="00DF38C0"/>
    <w:rsid w:val="00DF3BBE"/>
    <w:rsid w:val="00DF424B"/>
    <w:rsid w:val="00DF65CA"/>
    <w:rsid w:val="00E04242"/>
    <w:rsid w:val="00E049D2"/>
    <w:rsid w:val="00E23F57"/>
    <w:rsid w:val="00E30D8B"/>
    <w:rsid w:val="00E538E0"/>
    <w:rsid w:val="00E62215"/>
    <w:rsid w:val="00E64DDC"/>
    <w:rsid w:val="00E708CB"/>
    <w:rsid w:val="00E70DA0"/>
    <w:rsid w:val="00E77B0A"/>
    <w:rsid w:val="00E827A3"/>
    <w:rsid w:val="00E8598B"/>
    <w:rsid w:val="00E86F44"/>
    <w:rsid w:val="00E93E96"/>
    <w:rsid w:val="00EA06C8"/>
    <w:rsid w:val="00EA4153"/>
    <w:rsid w:val="00EB3080"/>
    <w:rsid w:val="00EE79A5"/>
    <w:rsid w:val="00EF2A05"/>
    <w:rsid w:val="00EF7053"/>
    <w:rsid w:val="00F0329E"/>
    <w:rsid w:val="00F033C5"/>
    <w:rsid w:val="00F057E3"/>
    <w:rsid w:val="00F06F4A"/>
    <w:rsid w:val="00F2647E"/>
    <w:rsid w:val="00F27521"/>
    <w:rsid w:val="00F3277F"/>
    <w:rsid w:val="00F4143E"/>
    <w:rsid w:val="00F66663"/>
    <w:rsid w:val="00F854B4"/>
    <w:rsid w:val="00F92B45"/>
    <w:rsid w:val="00F9333D"/>
    <w:rsid w:val="00FF3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C4087F9-4510-43C7-B46D-A94B7742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55A8"/>
    <w:rPr>
      <w:sz w:val="24"/>
      <w:szCs w:val="24"/>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CA0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10568E"/>
    <w:rPr>
      <w:rFonts w:ascii="Tahoma" w:hAnsi="Tahoma" w:cs="Tahoma"/>
      <w:sz w:val="16"/>
      <w:szCs w:val="16"/>
    </w:rPr>
  </w:style>
  <w:style w:type="character" w:styleId="Odwoaniedokomentarza">
    <w:name w:val="annotation reference"/>
    <w:semiHidden/>
    <w:rsid w:val="00323CA3"/>
    <w:rPr>
      <w:sz w:val="16"/>
      <w:szCs w:val="16"/>
    </w:rPr>
  </w:style>
  <w:style w:type="paragraph" w:styleId="Tekstkomentarza">
    <w:name w:val="annotation text"/>
    <w:basedOn w:val="Normalny"/>
    <w:semiHidden/>
    <w:rsid w:val="00323CA3"/>
    <w:rPr>
      <w:sz w:val="20"/>
      <w:szCs w:val="20"/>
    </w:rPr>
  </w:style>
  <w:style w:type="paragraph" w:styleId="Tematkomentarza">
    <w:name w:val="annotation subject"/>
    <w:basedOn w:val="Tekstkomentarza"/>
    <w:next w:val="Tekstkomentarza"/>
    <w:semiHidden/>
    <w:rsid w:val="00936073"/>
    <w:rPr>
      <w:b/>
      <w:bCs/>
    </w:rPr>
  </w:style>
  <w:style w:type="character" w:customStyle="1" w:styleId="hps">
    <w:name w:val="hps"/>
    <w:basedOn w:val="Domylnaczcionkaakapitu"/>
    <w:rsid w:val="00D23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880872">
      <w:bodyDiv w:val="1"/>
      <w:marLeft w:val="0"/>
      <w:marRight w:val="0"/>
      <w:marTop w:val="0"/>
      <w:marBottom w:val="0"/>
      <w:divBdr>
        <w:top w:val="none" w:sz="0" w:space="0" w:color="auto"/>
        <w:left w:val="none" w:sz="0" w:space="0" w:color="auto"/>
        <w:bottom w:val="none" w:sz="0" w:space="0" w:color="auto"/>
        <w:right w:val="none" w:sz="0" w:space="0" w:color="auto"/>
      </w:divBdr>
      <w:divsChild>
        <w:div w:id="712581630">
          <w:marLeft w:val="0"/>
          <w:marRight w:val="0"/>
          <w:marTop w:val="0"/>
          <w:marBottom w:val="0"/>
          <w:divBdr>
            <w:top w:val="none" w:sz="0" w:space="0" w:color="auto"/>
            <w:left w:val="none" w:sz="0" w:space="0" w:color="auto"/>
            <w:bottom w:val="none" w:sz="0" w:space="0" w:color="auto"/>
            <w:right w:val="none" w:sz="0" w:space="0" w:color="auto"/>
          </w:divBdr>
          <w:divsChild>
            <w:div w:id="1579484662">
              <w:marLeft w:val="0"/>
              <w:marRight w:val="0"/>
              <w:marTop w:val="0"/>
              <w:marBottom w:val="0"/>
              <w:divBdr>
                <w:top w:val="none" w:sz="0" w:space="0" w:color="auto"/>
                <w:left w:val="none" w:sz="0" w:space="0" w:color="auto"/>
                <w:bottom w:val="none" w:sz="0" w:space="0" w:color="auto"/>
                <w:right w:val="none" w:sz="0" w:space="0" w:color="auto"/>
              </w:divBdr>
              <w:divsChild>
                <w:div w:id="577324219">
                  <w:marLeft w:val="0"/>
                  <w:marRight w:val="0"/>
                  <w:marTop w:val="0"/>
                  <w:marBottom w:val="0"/>
                  <w:divBdr>
                    <w:top w:val="none" w:sz="0" w:space="0" w:color="auto"/>
                    <w:left w:val="none" w:sz="0" w:space="0" w:color="auto"/>
                    <w:bottom w:val="none" w:sz="0" w:space="0" w:color="auto"/>
                    <w:right w:val="none" w:sz="0" w:space="0" w:color="auto"/>
                  </w:divBdr>
                  <w:divsChild>
                    <w:div w:id="223874974">
                      <w:marLeft w:val="0"/>
                      <w:marRight w:val="0"/>
                      <w:marTop w:val="0"/>
                      <w:marBottom w:val="0"/>
                      <w:divBdr>
                        <w:top w:val="none" w:sz="0" w:space="0" w:color="auto"/>
                        <w:left w:val="none" w:sz="0" w:space="0" w:color="auto"/>
                        <w:bottom w:val="none" w:sz="0" w:space="0" w:color="auto"/>
                        <w:right w:val="none" w:sz="0" w:space="0" w:color="auto"/>
                      </w:divBdr>
                      <w:divsChild>
                        <w:div w:id="1975235">
                          <w:marLeft w:val="0"/>
                          <w:marRight w:val="0"/>
                          <w:marTop w:val="0"/>
                          <w:marBottom w:val="0"/>
                          <w:divBdr>
                            <w:top w:val="none" w:sz="0" w:space="0" w:color="auto"/>
                            <w:left w:val="none" w:sz="0" w:space="0" w:color="auto"/>
                            <w:bottom w:val="none" w:sz="0" w:space="0" w:color="auto"/>
                            <w:right w:val="none" w:sz="0" w:space="0" w:color="auto"/>
                          </w:divBdr>
                          <w:divsChild>
                            <w:div w:id="113839575">
                              <w:marLeft w:val="0"/>
                              <w:marRight w:val="0"/>
                              <w:marTop w:val="0"/>
                              <w:marBottom w:val="0"/>
                              <w:divBdr>
                                <w:top w:val="none" w:sz="0" w:space="0" w:color="auto"/>
                                <w:left w:val="none" w:sz="0" w:space="0" w:color="auto"/>
                                <w:bottom w:val="none" w:sz="0" w:space="0" w:color="auto"/>
                                <w:right w:val="none" w:sz="0" w:space="0" w:color="auto"/>
                              </w:divBdr>
                              <w:divsChild>
                                <w:div w:id="869225364">
                                  <w:marLeft w:val="0"/>
                                  <w:marRight w:val="0"/>
                                  <w:marTop w:val="0"/>
                                  <w:marBottom w:val="0"/>
                                  <w:divBdr>
                                    <w:top w:val="none" w:sz="0" w:space="0" w:color="auto"/>
                                    <w:left w:val="none" w:sz="0" w:space="0" w:color="auto"/>
                                    <w:bottom w:val="none" w:sz="0" w:space="0" w:color="auto"/>
                                    <w:right w:val="none" w:sz="0" w:space="0" w:color="auto"/>
                                  </w:divBdr>
                                  <w:divsChild>
                                    <w:div w:id="1339381324">
                                      <w:marLeft w:val="60"/>
                                      <w:marRight w:val="0"/>
                                      <w:marTop w:val="0"/>
                                      <w:marBottom w:val="0"/>
                                      <w:divBdr>
                                        <w:top w:val="none" w:sz="0" w:space="0" w:color="auto"/>
                                        <w:left w:val="none" w:sz="0" w:space="0" w:color="auto"/>
                                        <w:bottom w:val="none" w:sz="0" w:space="0" w:color="auto"/>
                                        <w:right w:val="none" w:sz="0" w:space="0" w:color="auto"/>
                                      </w:divBdr>
                                      <w:divsChild>
                                        <w:div w:id="43676852">
                                          <w:marLeft w:val="0"/>
                                          <w:marRight w:val="0"/>
                                          <w:marTop w:val="0"/>
                                          <w:marBottom w:val="0"/>
                                          <w:divBdr>
                                            <w:top w:val="none" w:sz="0" w:space="0" w:color="auto"/>
                                            <w:left w:val="none" w:sz="0" w:space="0" w:color="auto"/>
                                            <w:bottom w:val="none" w:sz="0" w:space="0" w:color="auto"/>
                                            <w:right w:val="none" w:sz="0" w:space="0" w:color="auto"/>
                                          </w:divBdr>
                                          <w:divsChild>
                                            <w:div w:id="2137943007">
                                              <w:marLeft w:val="0"/>
                                              <w:marRight w:val="0"/>
                                              <w:marTop w:val="0"/>
                                              <w:marBottom w:val="120"/>
                                              <w:divBdr>
                                                <w:top w:val="single" w:sz="6" w:space="0" w:color="F5F5F5"/>
                                                <w:left w:val="single" w:sz="6" w:space="0" w:color="F5F5F5"/>
                                                <w:bottom w:val="single" w:sz="6" w:space="0" w:color="F5F5F5"/>
                                                <w:right w:val="single" w:sz="6" w:space="0" w:color="F5F5F5"/>
                                              </w:divBdr>
                                              <w:divsChild>
                                                <w:div w:id="356345866">
                                                  <w:marLeft w:val="0"/>
                                                  <w:marRight w:val="0"/>
                                                  <w:marTop w:val="0"/>
                                                  <w:marBottom w:val="0"/>
                                                  <w:divBdr>
                                                    <w:top w:val="none" w:sz="0" w:space="0" w:color="auto"/>
                                                    <w:left w:val="none" w:sz="0" w:space="0" w:color="auto"/>
                                                    <w:bottom w:val="none" w:sz="0" w:space="0" w:color="auto"/>
                                                    <w:right w:val="none" w:sz="0" w:space="0" w:color="auto"/>
                                                  </w:divBdr>
                                                  <w:divsChild>
                                                    <w:div w:id="19758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8512355">
      <w:bodyDiv w:val="1"/>
      <w:marLeft w:val="0"/>
      <w:marRight w:val="0"/>
      <w:marTop w:val="0"/>
      <w:marBottom w:val="0"/>
      <w:divBdr>
        <w:top w:val="none" w:sz="0" w:space="0" w:color="auto"/>
        <w:left w:val="none" w:sz="0" w:space="0" w:color="auto"/>
        <w:bottom w:val="none" w:sz="0" w:space="0" w:color="auto"/>
        <w:right w:val="none" w:sz="0" w:space="0" w:color="auto"/>
      </w:divBdr>
    </w:div>
    <w:div w:id="968901390">
      <w:bodyDiv w:val="1"/>
      <w:marLeft w:val="0"/>
      <w:marRight w:val="0"/>
      <w:marTop w:val="0"/>
      <w:marBottom w:val="0"/>
      <w:divBdr>
        <w:top w:val="none" w:sz="0" w:space="0" w:color="auto"/>
        <w:left w:val="none" w:sz="0" w:space="0" w:color="auto"/>
        <w:bottom w:val="none" w:sz="0" w:space="0" w:color="auto"/>
        <w:right w:val="none" w:sz="0" w:space="0" w:color="auto"/>
      </w:divBdr>
      <w:divsChild>
        <w:div w:id="1613323719">
          <w:marLeft w:val="0"/>
          <w:marRight w:val="0"/>
          <w:marTop w:val="0"/>
          <w:marBottom w:val="0"/>
          <w:divBdr>
            <w:top w:val="none" w:sz="0" w:space="0" w:color="auto"/>
            <w:left w:val="none" w:sz="0" w:space="0" w:color="auto"/>
            <w:bottom w:val="none" w:sz="0" w:space="0" w:color="auto"/>
            <w:right w:val="none" w:sz="0" w:space="0" w:color="auto"/>
          </w:divBdr>
          <w:divsChild>
            <w:div w:id="352146210">
              <w:marLeft w:val="0"/>
              <w:marRight w:val="0"/>
              <w:marTop w:val="0"/>
              <w:marBottom w:val="0"/>
              <w:divBdr>
                <w:top w:val="none" w:sz="0" w:space="0" w:color="auto"/>
                <w:left w:val="none" w:sz="0" w:space="0" w:color="auto"/>
                <w:bottom w:val="none" w:sz="0" w:space="0" w:color="auto"/>
                <w:right w:val="none" w:sz="0" w:space="0" w:color="auto"/>
              </w:divBdr>
              <w:divsChild>
                <w:div w:id="898243993">
                  <w:marLeft w:val="0"/>
                  <w:marRight w:val="0"/>
                  <w:marTop w:val="0"/>
                  <w:marBottom w:val="0"/>
                  <w:divBdr>
                    <w:top w:val="none" w:sz="0" w:space="0" w:color="auto"/>
                    <w:left w:val="none" w:sz="0" w:space="0" w:color="auto"/>
                    <w:bottom w:val="none" w:sz="0" w:space="0" w:color="auto"/>
                    <w:right w:val="none" w:sz="0" w:space="0" w:color="auto"/>
                  </w:divBdr>
                  <w:divsChild>
                    <w:div w:id="1458798122">
                      <w:marLeft w:val="0"/>
                      <w:marRight w:val="0"/>
                      <w:marTop w:val="0"/>
                      <w:marBottom w:val="0"/>
                      <w:divBdr>
                        <w:top w:val="none" w:sz="0" w:space="0" w:color="auto"/>
                        <w:left w:val="none" w:sz="0" w:space="0" w:color="auto"/>
                        <w:bottom w:val="none" w:sz="0" w:space="0" w:color="auto"/>
                        <w:right w:val="none" w:sz="0" w:space="0" w:color="auto"/>
                      </w:divBdr>
                      <w:divsChild>
                        <w:div w:id="438598547">
                          <w:marLeft w:val="0"/>
                          <w:marRight w:val="0"/>
                          <w:marTop w:val="0"/>
                          <w:marBottom w:val="0"/>
                          <w:divBdr>
                            <w:top w:val="none" w:sz="0" w:space="0" w:color="auto"/>
                            <w:left w:val="none" w:sz="0" w:space="0" w:color="auto"/>
                            <w:bottom w:val="none" w:sz="0" w:space="0" w:color="auto"/>
                            <w:right w:val="none" w:sz="0" w:space="0" w:color="auto"/>
                          </w:divBdr>
                          <w:divsChild>
                            <w:div w:id="288242816">
                              <w:marLeft w:val="0"/>
                              <w:marRight w:val="0"/>
                              <w:marTop w:val="0"/>
                              <w:marBottom w:val="0"/>
                              <w:divBdr>
                                <w:top w:val="none" w:sz="0" w:space="0" w:color="auto"/>
                                <w:left w:val="none" w:sz="0" w:space="0" w:color="auto"/>
                                <w:bottom w:val="none" w:sz="0" w:space="0" w:color="auto"/>
                                <w:right w:val="none" w:sz="0" w:space="0" w:color="auto"/>
                              </w:divBdr>
                              <w:divsChild>
                                <w:div w:id="642659809">
                                  <w:marLeft w:val="0"/>
                                  <w:marRight w:val="0"/>
                                  <w:marTop w:val="0"/>
                                  <w:marBottom w:val="0"/>
                                  <w:divBdr>
                                    <w:top w:val="none" w:sz="0" w:space="0" w:color="auto"/>
                                    <w:left w:val="none" w:sz="0" w:space="0" w:color="auto"/>
                                    <w:bottom w:val="none" w:sz="0" w:space="0" w:color="auto"/>
                                    <w:right w:val="none" w:sz="0" w:space="0" w:color="auto"/>
                                  </w:divBdr>
                                  <w:divsChild>
                                    <w:div w:id="274531059">
                                      <w:marLeft w:val="60"/>
                                      <w:marRight w:val="0"/>
                                      <w:marTop w:val="0"/>
                                      <w:marBottom w:val="0"/>
                                      <w:divBdr>
                                        <w:top w:val="none" w:sz="0" w:space="0" w:color="auto"/>
                                        <w:left w:val="none" w:sz="0" w:space="0" w:color="auto"/>
                                        <w:bottom w:val="none" w:sz="0" w:space="0" w:color="auto"/>
                                        <w:right w:val="none" w:sz="0" w:space="0" w:color="auto"/>
                                      </w:divBdr>
                                      <w:divsChild>
                                        <w:div w:id="1209686813">
                                          <w:marLeft w:val="0"/>
                                          <w:marRight w:val="0"/>
                                          <w:marTop w:val="0"/>
                                          <w:marBottom w:val="0"/>
                                          <w:divBdr>
                                            <w:top w:val="none" w:sz="0" w:space="0" w:color="auto"/>
                                            <w:left w:val="none" w:sz="0" w:space="0" w:color="auto"/>
                                            <w:bottom w:val="none" w:sz="0" w:space="0" w:color="auto"/>
                                            <w:right w:val="none" w:sz="0" w:space="0" w:color="auto"/>
                                          </w:divBdr>
                                          <w:divsChild>
                                            <w:div w:id="278222162">
                                              <w:marLeft w:val="0"/>
                                              <w:marRight w:val="0"/>
                                              <w:marTop w:val="0"/>
                                              <w:marBottom w:val="120"/>
                                              <w:divBdr>
                                                <w:top w:val="single" w:sz="6" w:space="0" w:color="F5F5F5"/>
                                                <w:left w:val="single" w:sz="6" w:space="0" w:color="F5F5F5"/>
                                                <w:bottom w:val="single" w:sz="6" w:space="0" w:color="F5F5F5"/>
                                                <w:right w:val="single" w:sz="6" w:space="0" w:color="F5F5F5"/>
                                              </w:divBdr>
                                              <w:divsChild>
                                                <w:div w:id="1868592000">
                                                  <w:marLeft w:val="0"/>
                                                  <w:marRight w:val="0"/>
                                                  <w:marTop w:val="0"/>
                                                  <w:marBottom w:val="0"/>
                                                  <w:divBdr>
                                                    <w:top w:val="none" w:sz="0" w:space="0" w:color="auto"/>
                                                    <w:left w:val="none" w:sz="0" w:space="0" w:color="auto"/>
                                                    <w:bottom w:val="none" w:sz="0" w:space="0" w:color="auto"/>
                                                    <w:right w:val="none" w:sz="0" w:space="0" w:color="auto"/>
                                                  </w:divBdr>
                                                  <w:divsChild>
                                                    <w:div w:id="13279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462</Words>
  <Characters>2774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EEA Financial Mechanism 2004-2009</vt:lpstr>
    </vt:vector>
  </TitlesOfParts>
  <Company>EFTA</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EEA Financial Mechanism 2004-2009</dc:title>
  <dc:subject/>
  <dc:creator>abachman</dc:creator>
  <cp:keywords/>
  <dc:description/>
  <cp:lastModifiedBy>Ostaszewicz Izabela</cp:lastModifiedBy>
  <cp:revision>17</cp:revision>
  <cp:lastPrinted>2016-01-05T08:50:00Z</cp:lastPrinted>
  <dcterms:created xsi:type="dcterms:W3CDTF">2014-01-24T07:51:00Z</dcterms:created>
  <dcterms:modified xsi:type="dcterms:W3CDTF">2016-04-11T12:34:00Z</dcterms:modified>
</cp:coreProperties>
</file>